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15EA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Zmluvné strany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pStyle w:val="Nadpis1"/>
        <w:numPr>
          <w:ilvl w:val="0"/>
          <w:numId w:val="23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F015EA">
        <w:rPr>
          <w:rFonts w:ascii="Tahoma" w:hAnsi="Tahoma" w:cs="Tahoma"/>
          <w:sz w:val="20"/>
          <w:szCs w:val="20"/>
        </w:rPr>
        <w:t>Objednávateľ: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  <w:t>BAMIPA, s.r.o.</w:t>
      </w:r>
      <w:r w:rsidRPr="00F015EA">
        <w:rPr>
          <w:rFonts w:ascii="Tahoma" w:hAnsi="Tahoma" w:cs="Tahoma"/>
          <w:sz w:val="20"/>
          <w:szCs w:val="20"/>
        </w:rPr>
        <w:tab/>
      </w:r>
      <w:bookmarkEnd w:id="0"/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F015EA">
        <w:rPr>
          <w:rFonts w:ascii="Tahoma" w:hAnsi="Tahoma" w:cs="Tahoma"/>
          <w:sz w:val="20"/>
          <w:szCs w:val="20"/>
        </w:rPr>
        <w:t xml:space="preserve">Sídlo: 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bookmarkEnd w:id="1"/>
      <w:r w:rsidRPr="00F015EA">
        <w:rPr>
          <w:rFonts w:ascii="Tahoma" w:hAnsi="Tahoma" w:cs="Tahoma"/>
          <w:sz w:val="20"/>
          <w:szCs w:val="20"/>
        </w:rPr>
        <w:t xml:space="preserve">Továrenská 1219, 956 18 Bošany, </w:t>
      </w:r>
    </w:p>
    <w:p w:rsidR="00225321" w:rsidRPr="00F015EA" w:rsidRDefault="00225321" w:rsidP="00225321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2" w:name="_Toc465921358"/>
      <w:r w:rsidRPr="00F015EA">
        <w:rPr>
          <w:rFonts w:ascii="Tahoma" w:hAnsi="Tahoma" w:cs="Tahoma"/>
          <w:sz w:val="20"/>
          <w:szCs w:val="20"/>
        </w:rPr>
        <w:t xml:space="preserve">V zastúpení: 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  <w:t>JUDr. Ján Miškeje, konateľ</w:t>
      </w:r>
      <w:bookmarkEnd w:id="2"/>
    </w:p>
    <w:p w:rsidR="00225321" w:rsidRPr="00F015EA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IČO:</w:t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  <w:t>36537608</w:t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F015EA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222222"/>
          <w:sz w:val="20"/>
          <w:szCs w:val="20"/>
        </w:rPr>
        <w:t>2020148647</w:t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color w:val="FF0000"/>
          <w:sz w:val="20"/>
          <w:szCs w:val="20"/>
        </w:rPr>
      </w:pPr>
      <w:r w:rsidRPr="00F015EA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Style w:val="ra"/>
          <w:rFonts w:ascii="Tahoma" w:hAnsi="Tahoma" w:cs="Tahoma"/>
          <w:color w:val="auto"/>
          <w:sz w:val="20"/>
          <w:szCs w:val="20"/>
        </w:rPr>
        <w:tab/>
      </w:r>
      <w:r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222222"/>
          <w:sz w:val="20"/>
          <w:szCs w:val="20"/>
        </w:rPr>
        <w:t>SK202014864</w:t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Bankové spojenie:</w:t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  <w:t>VUB Banka, a.s.</w:t>
      </w:r>
    </w:p>
    <w:p w:rsidR="00225321" w:rsidRPr="00F015EA" w:rsidRDefault="00225321" w:rsidP="00225321">
      <w:pPr>
        <w:shd w:val="clear" w:color="auto" w:fill="FFFFFF"/>
        <w:ind w:firstLine="708"/>
        <w:rPr>
          <w:rFonts w:ascii="Tahoma" w:hAnsi="Tahoma" w:cs="Tahoma"/>
          <w:color w:val="222222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IBAN: </w:t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222222"/>
          <w:sz w:val="20"/>
          <w:szCs w:val="20"/>
        </w:rPr>
        <w:t>SK48 0200 0000 0014 3231 5051</w:t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b/>
          <w:color w:val="FF0000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Tel :</w:t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noProof/>
          <w:color w:val="auto"/>
          <w:sz w:val="20"/>
          <w:szCs w:val="20"/>
        </w:rPr>
        <w:t xml:space="preserve">+421 907726726       </w:t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hyperlink r:id="rId8" w:history="1">
        <w:r w:rsidRPr="00F015EA">
          <w:rPr>
            <w:rStyle w:val="Hypertextovprepojenie"/>
            <w:rFonts w:ascii="Tahoma" w:eastAsiaTheme="majorEastAsia" w:hAnsi="Tahoma" w:cs="Tahoma"/>
            <w:sz w:val="20"/>
            <w:szCs w:val="20"/>
          </w:rPr>
          <w:t>nakup@bamipa.sk</w:t>
        </w:r>
      </w:hyperlink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  <w:r w:rsidRPr="00F015EA">
        <w:rPr>
          <w:rFonts w:ascii="Tahoma" w:hAnsi="Tahoma" w:cs="Tahoma"/>
          <w:color w:val="auto"/>
          <w:sz w:val="20"/>
          <w:szCs w:val="20"/>
        </w:rPr>
        <w:tab/>
      </w:r>
    </w:p>
    <w:p w:rsidR="00225321" w:rsidRPr="00F015EA" w:rsidRDefault="00225321" w:rsidP="00225321">
      <w:pPr>
        <w:pStyle w:val="Zkladntext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 (ďalej len : „Objednávateľ“ )</w:t>
      </w:r>
    </w:p>
    <w:p w:rsidR="00225321" w:rsidRPr="00F015EA" w:rsidRDefault="00225321" w:rsidP="00225321">
      <w:pPr>
        <w:pStyle w:val="Zkladntext"/>
        <w:rPr>
          <w:rFonts w:ascii="Tahoma" w:hAnsi="Tahoma" w:cs="Tahoma"/>
          <w:sz w:val="20"/>
          <w:szCs w:val="20"/>
        </w:rPr>
      </w:pPr>
    </w:p>
    <w:p w:rsidR="00225321" w:rsidRPr="00F015EA" w:rsidRDefault="00225321" w:rsidP="00225321">
      <w:pPr>
        <w:pStyle w:val="Nadpis1"/>
        <w:numPr>
          <w:ilvl w:val="0"/>
          <w:numId w:val="23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bookmarkStart w:id="3" w:name="_Toc465921359"/>
      <w:r w:rsidRPr="00F015EA">
        <w:rPr>
          <w:rFonts w:ascii="Tahoma" w:hAnsi="Tahoma" w:cs="Tahoma"/>
          <w:sz w:val="20"/>
          <w:szCs w:val="20"/>
        </w:rPr>
        <w:t>Dodávateľ :</w:t>
      </w:r>
      <w:bookmarkEnd w:id="3"/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Sídlo: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V zastúpení: 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IČO: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15EA">
        <w:rPr>
          <w:rStyle w:val="ra"/>
          <w:rFonts w:ascii="Tahoma" w:hAnsi="Tahoma" w:cs="Tahoma"/>
          <w:sz w:val="20"/>
          <w:szCs w:val="20"/>
        </w:rPr>
        <w:t>DIČ:</w:t>
      </w:r>
      <w:r w:rsidRPr="00F015EA">
        <w:rPr>
          <w:rStyle w:val="ra"/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IČ DPH :</w:t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15EA">
        <w:rPr>
          <w:rFonts w:ascii="Tahoma" w:eastAsia="STXihei" w:hAnsi="Tahoma" w:cs="Tahoma"/>
          <w:sz w:val="20"/>
          <w:szCs w:val="20"/>
        </w:rPr>
        <w:t>Bankové spojenie:</w:t>
      </w:r>
      <w:r w:rsidRPr="00F015EA">
        <w:rPr>
          <w:rFonts w:ascii="Tahoma" w:eastAsia="STXihei" w:hAnsi="Tahoma" w:cs="Tahoma"/>
          <w:sz w:val="20"/>
          <w:szCs w:val="20"/>
        </w:rPr>
        <w:tab/>
      </w:r>
    </w:p>
    <w:p w:rsidR="00225321" w:rsidRPr="00F015EA" w:rsidRDefault="00963277" w:rsidP="002253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>
        <w:rPr>
          <w:rFonts w:ascii="Tahoma" w:eastAsia="STXihei" w:hAnsi="Tahoma" w:cs="Tahoma"/>
          <w:sz w:val="20"/>
          <w:szCs w:val="20"/>
        </w:rPr>
        <w:t>IBAN</w:t>
      </w:r>
      <w:r w:rsidR="00225321" w:rsidRPr="00F015EA">
        <w:rPr>
          <w:rFonts w:ascii="Tahoma" w:eastAsia="STXihei" w:hAnsi="Tahoma" w:cs="Tahoma"/>
          <w:sz w:val="20"/>
          <w:szCs w:val="20"/>
        </w:rPr>
        <w:t xml:space="preserve">: </w:t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Tel :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ind w:left="345" w:firstLine="363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Email : </w:t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  <w:r w:rsidRPr="00F015EA">
        <w:rPr>
          <w:rFonts w:ascii="Tahoma" w:hAnsi="Tahoma" w:cs="Tahoma"/>
          <w:sz w:val="20"/>
          <w:szCs w:val="20"/>
        </w:rPr>
        <w:tab/>
      </w:r>
    </w:p>
    <w:p w:rsidR="00225321" w:rsidRPr="00F015EA" w:rsidRDefault="00225321" w:rsidP="00225321">
      <w:pPr>
        <w:pStyle w:val="Zkladntext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(</w:t>
      </w:r>
      <w:r w:rsidRPr="00A14050">
        <w:rPr>
          <w:rFonts w:ascii="Tahoma" w:hAnsi="Tahoma" w:cs="Tahoma"/>
          <w:sz w:val="20"/>
          <w:szCs w:val="20"/>
        </w:rPr>
        <w:t>ďalej len „Dodávateľ“ )</w:t>
      </w:r>
      <w:r w:rsidRPr="00F015EA">
        <w:rPr>
          <w:rFonts w:ascii="Tahoma" w:hAnsi="Tahoma" w:cs="Tahoma"/>
          <w:b/>
          <w:sz w:val="20"/>
          <w:szCs w:val="20"/>
        </w:rPr>
        <w:t xml:space="preserve"> </w:t>
      </w:r>
      <w:r w:rsidRPr="00F015EA">
        <w:rPr>
          <w:rFonts w:ascii="Tahoma" w:hAnsi="Tahoma" w:cs="Tahoma"/>
          <w:b/>
          <w:sz w:val="20"/>
          <w:szCs w:val="20"/>
        </w:rPr>
        <w:tab/>
      </w:r>
    </w:p>
    <w:p w:rsidR="00225321" w:rsidRPr="00F015EA" w:rsidRDefault="00225321" w:rsidP="00225321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pStyle w:val="C1"/>
        <w:rPr>
          <w:rFonts w:ascii="Tahoma" w:hAnsi="Tahoma" w:cs="Tahoma"/>
          <w:b w:val="0"/>
        </w:rPr>
      </w:pPr>
      <w:r w:rsidRPr="00F015EA">
        <w:rPr>
          <w:rFonts w:ascii="Tahoma" w:hAnsi="Tahoma" w:cs="Tahoma"/>
          <w:b w:val="0"/>
        </w:rPr>
        <w:t>Východiskovým podkladom na uzavretie tejto zmluvy (ďalej len „zmluva“) je ponuka dodávateľa zo dňa ................. (doplní uchádzač), predložená v procese obstarávania  s názvom: „</w:t>
      </w:r>
      <w:r w:rsidRPr="00F015EA">
        <w:rPr>
          <w:rFonts w:ascii="Tahoma" w:eastAsiaTheme="minorHAnsi" w:hAnsi="Tahoma" w:cs="Tahoma"/>
          <w:b w:val="0"/>
          <w:color w:val="auto"/>
          <w:lang w:eastAsia="en-US"/>
        </w:rPr>
        <w:t>Automatická linka na orezávanie podrážok</w:t>
      </w:r>
      <w:r w:rsidRPr="00F015EA">
        <w:rPr>
          <w:rFonts w:ascii="Tahoma" w:hAnsi="Tahoma" w:cs="Tahoma"/>
          <w:b w:val="0"/>
        </w:rPr>
        <w:t>“.</w:t>
      </w:r>
    </w:p>
    <w:p w:rsidR="00225321" w:rsidRPr="00F015EA" w:rsidRDefault="00225321" w:rsidP="00225321">
      <w:pPr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II</w:t>
      </w:r>
    </w:p>
    <w:p w:rsidR="00225321" w:rsidRPr="00F015EA" w:rsidRDefault="00225321" w:rsidP="002253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Predmet zmluvy</w:t>
      </w:r>
    </w:p>
    <w:p w:rsidR="00225321" w:rsidRPr="00F015EA" w:rsidRDefault="00225321" w:rsidP="00225321">
      <w:pPr>
        <w:pStyle w:val="Zarkazkladnhotextu21"/>
        <w:numPr>
          <w:ilvl w:val="0"/>
          <w:numId w:val="40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Predmetom zmluvy </w:t>
      </w:r>
      <w:r w:rsidRPr="00F015EA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je dodávka Automatická linka na orezávanie podrážok.</w:t>
      </w:r>
    </w:p>
    <w:p w:rsidR="00225321" w:rsidRPr="00F015EA" w:rsidRDefault="00225321" w:rsidP="00225321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  <w:r w:rsidRPr="00F015EA">
        <w:rPr>
          <w:rFonts w:ascii="Tahoma" w:hAnsi="Tahoma" w:cs="Tahoma"/>
          <w:color w:val="FF0000"/>
          <w:sz w:val="20"/>
          <w:szCs w:val="20"/>
        </w:rPr>
        <w:tab/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  <w:r w:rsidRPr="00F015EA">
        <w:rPr>
          <w:rFonts w:ascii="Tahoma" w:hAnsi="Tahoma" w:cs="Tahoma"/>
          <w:color w:val="FF0000"/>
          <w:sz w:val="20"/>
          <w:szCs w:val="20"/>
        </w:rPr>
        <w:tab/>
      </w:r>
    </w:p>
    <w:p w:rsidR="00225321" w:rsidRPr="00A14050" w:rsidRDefault="00225321" w:rsidP="00225321">
      <w:pPr>
        <w:pStyle w:val="Zarkazkladnhotextu21"/>
        <w:numPr>
          <w:ilvl w:val="0"/>
          <w:numId w:val="40"/>
        </w:numPr>
        <w:spacing w:after="240"/>
        <w:ind w:left="426" w:hanging="426"/>
        <w:rPr>
          <w:rFonts w:ascii="Tahoma" w:hAnsi="Tahoma" w:cs="Tahoma"/>
          <w:color w:val="000000"/>
          <w:sz w:val="16"/>
          <w:szCs w:val="16"/>
        </w:rPr>
      </w:pPr>
      <w:r w:rsidRPr="00F015EA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F015EA">
        <w:rPr>
          <w:rFonts w:ascii="Tahoma" w:eastAsia="Arial" w:hAnsi="Tahoma" w:cs="Tahoma"/>
          <w:color w:val="FF0000"/>
          <w:sz w:val="20"/>
          <w:szCs w:val="20"/>
        </w:rPr>
        <w:tab/>
      </w:r>
      <w:r w:rsidRPr="00A14050">
        <w:rPr>
          <w:rFonts w:ascii="Tahoma" w:eastAsia="Arial" w:hAnsi="Tahoma" w:cs="Tahoma"/>
          <w:color w:val="FF0000"/>
          <w:sz w:val="16"/>
          <w:szCs w:val="16"/>
        </w:rPr>
        <w:t xml:space="preserve">         </w:t>
      </w:r>
      <w:r w:rsidRPr="00A14050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225321" w:rsidRPr="00F015EA" w:rsidRDefault="00225321" w:rsidP="00225321">
      <w:pPr>
        <w:pStyle w:val="Zarkazkladnhotextu21"/>
        <w:numPr>
          <w:ilvl w:val="0"/>
          <w:numId w:val="40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Podrobná špecifikácia predmetu zmluvy je uvedená v Prílohe č. 1.  tejto zmluvy. </w:t>
      </w:r>
    </w:p>
    <w:p w:rsidR="00225321" w:rsidRDefault="00225321" w:rsidP="00225321">
      <w:pPr>
        <w:pStyle w:val="Zarkazkladnhotextu21"/>
        <w:numPr>
          <w:ilvl w:val="0"/>
          <w:numId w:val="40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Súčasťou predmetu zmluvy je </w:t>
      </w:r>
    </w:p>
    <w:p w:rsidR="00225321" w:rsidRPr="00EC0A33" w:rsidRDefault="00225321" w:rsidP="00225321">
      <w:pPr>
        <w:pStyle w:val="Zkladntext3"/>
        <w:numPr>
          <w:ilvl w:val="0"/>
          <w:numId w:val="37"/>
        </w:numPr>
        <w:ind w:left="709" w:hanging="284"/>
        <w:jc w:val="both"/>
        <w:rPr>
          <w:rFonts w:ascii="Tahoma" w:hAnsi="Tahoma" w:cs="Tahoma"/>
          <w:b/>
          <w:color w:val="auto"/>
          <w:sz w:val="20"/>
        </w:rPr>
      </w:pPr>
      <w:r w:rsidRPr="00F015EA">
        <w:rPr>
          <w:rFonts w:ascii="Tahoma" w:hAnsi="Tahoma" w:cs="Tahoma"/>
          <w:bCs/>
          <w:color w:val="000000"/>
          <w:sz w:val="20"/>
        </w:rPr>
        <w:t xml:space="preserve">dodanie predmetu </w:t>
      </w:r>
      <w:r>
        <w:rPr>
          <w:rFonts w:ascii="Tahoma" w:hAnsi="Tahoma" w:cs="Tahoma"/>
          <w:bCs/>
          <w:color w:val="000000"/>
          <w:sz w:val="20"/>
        </w:rPr>
        <w:t xml:space="preserve">zmluvy - </w:t>
      </w:r>
      <w:r w:rsidRPr="00F015EA">
        <w:rPr>
          <w:rFonts w:ascii="Tahoma" w:hAnsi="Tahoma" w:cs="Tahoma"/>
          <w:color w:val="000000"/>
          <w:sz w:val="20"/>
        </w:rPr>
        <w:t xml:space="preserve">doprava a dodanie </w:t>
      </w:r>
      <w:r>
        <w:rPr>
          <w:rFonts w:ascii="Tahoma" w:hAnsi="Tahoma" w:cs="Tahoma"/>
          <w:color w:val="000000"/>
          <w:sz w:val="20"/>
        </w:rPr>
        <w:t>na</w:t>
      </w:r>
      <w:r w:rsidRPr="00F015EA">
        <w:rPr>
          <w:rFonts w:ascii="Tahoma" w:hAnsi="Tahoma" w:cs="Tahoma"/>
          <w:color w:val="000000"/>
          <w:sz w:val="20"/>
        </w:rPr>
        <w:t xml:space="preserve"> miest</w:t>
      </w:r>
      <w:r w:rsidR="00EF5C9C">
        <w:rPr>
          <w:rFonts w:ascii="Tahoma" w:hAnsi="Tahoma" w:cs="Tahoma"/>
          <w:color w:val="000000"/>
          <w:sz w:val="20"/>
        </w:rPr>
        <w:t>o</w:t>
      </w:r>
      <w:r w:rsidRPr="00F015EA">
        <w:rPr>
          <w:rFonts w:ascii="Tahoma" w:hAnsi="Tahoma" w:cs="Tahoma"/>
          <w:color w:val="000000"/>
          <w:sz w:val="20"/>
        </w:rPr>
        <w:t xml:space="preserve"> dodania</w:t>
      </w:r>
      <w:r w:rsidR="00EF5C9C">
        <w:rPr>
          <w:rFonts w:ascii="Tahoma" w:hAnsi="Tahoma" w:cs="Tahoma"/>
          <w:color w:val="000000"/>
          <w:sz w:val="20"/>
        </w:rPr>
        <w:t xml:space="preserve"> predmetu zmluvy</w:t>
      </w:r>
      <w:r w:rsidRPr="00F015EA">
        <w:rPr>
          <w:rFonts w:ascii="Tahoma" w:hAnsi="Tahoma" w:cs="Tahoma"/>
          <w:color w:val="000000"/>
          <w:sz w:val="20"/>
        </w:rPr>
        <w:t xml:space="preserve">, ktorým je výrobný areál  </w:t>
      </w:r>
      <w:r>
        <w:rPr>
          <w:rFonts w:ascii="Tahoma" w:hAnsi="Tahoma" w:cs="Tahoma"/>
          <w:color w:val="000000"/>
          <w:sz w:val="20"/>
        </w:rPr>
        <w:t>objednávateľa</w:t>
      </w:r>
      <w:r w:rsidRPr="00F015EA">
        <w:rPr>
          <w:rFonts w:ascii="Tahoma" w:hAnsi="Tahoma" w:cs="Tahoma"/>
          <w:color w:val="000000"/>
          <w:sz w:val="20"/>
        </w:rPr>
        <w:t xml:space="preserve"> a premiestnenie </w:t>
      </w:r>
      <w:r>
        <w:rPr>
          <w:rFonts w:ascii="Tahoma" w:hAnsi="Tahoma" w:cs="Tahoma"/>
          <w:color w:val="000000"/>
          <w:sz w:val="20"/>
        </w:rPr>
        <w:t>na</w:t>
      </w:r>
      <w:r w:rsidRPr="00F015EA">
        <w:rPr>
          <w:rFonts w:ascii="Tahoma" w:hAnsi="Tahoma" w:cs="Tahoma"/>
          <w:color w:val="000000"/>
          <w:sz w:val="20"/>
        </w:rPr>
        <w:t xml:space="preserve"> miest</w:t>
      </w:r>
      <w:r w:rsidR="00EF5C9C">
        <w:rPr>
          <w:rFonts w:ascii="Tahoma" w:hAnsi="Tahoma" w:cs="Tahoma"/>
          <w:color w:val="000000"/>
          <w:sz w:val="20"/>
        </w:rPr>
        <w:t>o</w:t>
      </w:r>
      <w:r w:rsidRPr="00F015EA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umiestnenia </w:t>
      </w:r>
      <w:r w:rsidRPr="00F015EA">
        <w:rPr>
          <w:rFonts w:ascii="Tahoma" w:hAnsi="Tahoma" w:cs="Tahoma"/>
          <w:color w:val="000000"/>
          <w:sz w:val="20"/>
        </w:rPr>
        <w:t xml:space="preserve">predmetu </w:t>
      </w:r>
      <w:r>
        <w:rPr>
          <w:rFonts w:ascii="Tahoma" w:hAnsi="Tahoma" w:cs="Tahoma"/>
          <w:color w:val="000000"/>
          <w:sz w:val="20"/>
        </w:rPr>
        <w:t xml:space="preserve">zmluvy </w:t>
      </w:r>
      <w:r w:rsidRPr="00F015EA">
        <w:rPr>
          <w:rFonts w:ascii="Tahoma" w:hAnsi="Tahoma" w:cs="Tahoma"/>
          <w:sz w:val="20"/>
        </w:rPr>
        <w:t xml:space="preserve">vo výrobnom areáli  </w:t>
      </w:r>
      <w:r>
        <w:rPr>
          <w:rFonts w:ascii="Tahoma" w:hAnsi="Tahoma" w:cs="Tahoma"/>
          <w:color w:val="auto"/>
          <w:sz w:val="20"/>
        </w:rPr>
        <w:t xml:space="preserve">objednávateľa </w:t>
      </w:r>
    </w:p>
    <w:p w:rsidR="00225321" w:rsidRPr="00EC0A33" w:rsidRDefault="00225321" w:rsidP="00225321">
      <w:pPr>
        <w:pStyle w:val="Zkladntext3"/>
        <w:numPr>
          <w:ilvl w:val="0"/>
          <w:numId w:val="37"/>
        </w:numPr>
        <w:ind w:left="709" w:hanging="284"/>
        <w:jc w:val="both"/>
        <w:rPr>
          <w:rFonts w:ascii="Tahoma" w:hAnsi="Tahoma" w:cs="Tahoma"/>
          <w:b/>
          <w:color w:val="auto"/>
          <w:sz w:val="20"/>
        </w:rPr>
      </w:pPr>
      <w:r>
        <w:rPr>
          <w:rFonts w:ascii="Tahoma" w:hAnsi="Tahoma" w:cs="Tahoma"/>
          <w:color w:val="000000"/>
          <w:sz w:val="20"/>
        </w:rPr>
        <w:t>m</w:t>
      </w:r>
      <w:r w:rsidRPr="00F015EA">
        <w:rPr>
          <w:rFonts w:ascii="Tahoma" w:hAnsi="Tahoma" w:cs="Tahoma"/>
          <w:color w:val="000000"/>
          <w:sz w:val="20"/>
        </w:rPr>
        <w:t xml:space="preserve">ontáž a uvedenie do prevádzky predmetu </w:t>
      </w:r>
      <w:r>
        <w:rPr>
          <w:rFonts w:ascii="Tahoma" w:hAnsi="Tahoma" w:cs="Tahoma"/>
          <w:color w:val="000000"/>
          <w:sz w:val="20"/>
        </w:rPr>
        <w:t xml:space="preserve">zmluvy - </w:t>
      </w:r>
      <w:r w:rsidRPr="00F015EA">
        <w:rPr>
          <w:rFonts w:ascii="Tahoma" w:hAnsi="Tahoma" w:cs="Tahoma"/>
          <w:color w:val="000000"/>
          <w:sz w:val="20"/>
        </w:rPr>
        <w:t xml:space="preserve">montáž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a zapojenie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jestvujúcich rozvodov médií </w:t>
      </w:r>
      <w:r>
        <w:rPr>
          <w:rFonts w:ascii="Tahoma" w:hAnsi="Tahoma" w:cs="Tahoma"/>
          <w:color w:val="auto"/>
          <w:sz w:val="20"/>
        </w:rPr>
        <w:t>objednávateľa</w:t>
      </w:r>
      <w:r w:rsidRPr="00F015EA">
        <w:rPr>
          <w:rFonts w:ascii="Tahoma" w:hAnsi="Tahoma" w:cs="Tahoma"/>
          <w:color w:val="000000"/>
          <w:sz w:val="20"/>
        </w:rPr>
        <w:t xml:space="preserve"> – elektrická energia, stlačený vzduch, odsávanie, do </w:t>
      </w:r>
      <w:r>
        <w:rPr>
          <w:rFonts w:ascii="Tahoma" w:hAnsi="Tahoma" w:cs="Tahoma"/>
          <w:color w:val="auto"/>
          <w:sz w:val="20"/>
        </w:rPr>
        <w:t>objednávateľom</w:t>
      </w:r>
      <w:r w:rsidRPr="00F015EA">
        <w:rPr>
          <w:rFonts w:ascii="Tahoma" w:hAnsi="Tahoma" w:cs="Tahoma"/>
          <w:color w:val="000000"/>
          <w:sz w:val="20"/>
        </w:rPr>
        <w:t xml:space="preserve"> stanovených pripojovacích bodov, pričom </w:t>
      </w:r>
      <w:r>
        <w:rPr>
          <w:rFonts w:ascii="Tahoma" w:hAnsi="Tahoma" w:cs="Tahoma"/>
          <w:color w:val="000000"/>
          <w:sz w:val="20"/>
        </w:rPr>
        <w:t>dodávateľ</w:t>
      </w:r>
      <w:r w:rsidRPr="00F015EA">
        <w:rPr>
          <w:rFonts w:ascii="Tahoma" w:hAnsi="Tahoma" w:cs="Tahoma"/>
          <w:color w:val="000000"/>
          <w:sz w:val="20"/>
        </w:rPr>
        <w:t xml:space="preserve"> je povinný realizovať zaistenie (ochranu)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pred poškodením a vypracovanie dokumentácie o realizácii zapojenia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a uvedenie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prevádzky, t.j. uvedenie predmetu </w:t>
      </w:r>
      <w:r>
        <w:rPr>
          <w:rFonts w:ascii="Tahoma" w:hAnsi="Tahoma" w:cs="Tahoma"/>
          <w:color w:val="000000"/>
          <w:sz w:val="20"/>
        </w:rPr>
        <w:t>zmluvy</w:t>
      </w:r>
      <w:r w:rsidRPr="00F015EA">
        <w:rPr>
          <w:rFonts w:ascii="Tahoma" w:hAnsi="Tahoma" w:cs="Tahoma"/>
          <w:color w:val="000000"/>
          <w:sz w:val="20"/>
        </w:rPr>
        <w:t xml:space="preserve"> do prevádzky s tým, že </w:t>
      </w:r>
      <w:r>
        <w:rPr>
          <w:rFonts w:ascii="Tahoma" w:hAnsi="Tahoma" w:cs="Tahoma"/>
          <w:color w:val="000000"/>
          <w:sz w:val="20"/>
        </w:rPr>
        <w:t>dodávateľ</w:t>
      </w:r>
      <w:r w:rsidRPr="00F015EA">
        <w:rPr>
          <w:rFonts w:ascii="Tahoma" w:hAnsi="Tahoma" w:cs="Tahoma"/>
          <w:color w:val="000000"/>
          <w:sz w:val="20"/>
        </w:rPr>
        <w:t xml:space="preserve"> je povinný preukázať dosiahnutie všetkých parametrov, ktoré sú v</w:t>
      </w:r>
      <w:r>
        <w:rPr>
          <w:rFonts w:ascii="Tahoma" w:hAnsi="Tahoma" w:cs="Tahoma"/>
          <w:color w:val="000000"/>
          <w:sz w:val="20"/>
        </w:rPr>
        <w:t> tejto zmluve a Prílohe č.1 tejto zmluvy</w:t>
      </w:r>
      <w:r w:rsidRPr="00F015EA">
        <w:rPr>
          <w:rFonts w:ascii="Tahoma" w:hAnsi="Tahoma" w:cs="Tahoma"/>
          <w:color w:val="000000"/>
          <w:sz w:val="20"/>
        </w:rPr>
        <w:t>.</w:t>
      </w:r>
    </w:p>
    <w:p w:rsidR="000307C3" w:rsidRDefault="000307C3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0307C3" w:rsidRDefault="000307C3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0307C3" w:rsidRDefault="000307C3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225321" w:rsidRPr="00F015EA" w:rsidRDefault="00225321" w:rsidP="00225321">
      <w:pPr>
        <w:pStyle w:val="Odsekzoznamu"/>
        <w:widowControl w:val="0"/>
        <w:spacing w:after="240"/>
        <w:ind w:left="8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Lehota dodania a miesto dodania predmetu zmluvy</w:t>
      </w:r>
    </w:p>
    <w:p w:rsidR="00225321" w:rsidRPr="00BC7674" w:rsidRDefault="00225321" w:rsidP="00225321">
      <w:pPr>
        <w:pStyle w:val="Zkladntext211"/>
        <w:widowControl w:val="0"/>
        <w:numPr>
          <w:ilvl w:val="1"/>
          <w:numId w:val="49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BC7674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BC7674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objednávateľovi uplynie 240</w:t>
      </w:r>
      <w:r w:rsidRPr="00BC7674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odo dňa vystavenia písomnej objednávky na dodanie predmetu zmluvy. Dodávateľ je povinný po obdržaní objednávky túto objednávateľovi obratom písomne potvrdiť. Vystavenie objednávky objednávateľom bude </w:t>
      </w:r>
      <w:r w:rsidR="000A57F0">
        <w:rPr>
          <w:rFonts w:ascii="Tahoma" w:hAnsi="Tahoma" w:cs="Tahoma"/>
          <w:sz w:val="20"/>
          <w:szCs w:val="20"/>
          <w:lang w:val="sk-SK"/>
        </w:rPr>
        <w:t>najneskôr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90 kalendárny</w:t>
      </w:r>
      <w:r w:rsidR="00D357CA">
        <w:rPr>
          <w:rFonts w:ascii="Tahoma" w:hAnsi="Tahoma" w:cs="Tahoma"/>
          <w:sz w:val="20"/>
          <w:szCs w:val="20"/>
          <w:lang w:val="sk-SK"/>
        </w:rPr>
        <w:t xml:space="preserve"> deň</w:t>
      </w:r>
      <w:r w:rsidRPr="00BC7674">
        <w:rPr>
          <w:rFonts w:ascii="Tahoma" w:hAnsi="Tahoma" w:cs="Tahoma"/>
          <w:sz w:val="20"/>
          <w:szCs w:val="20"/>
          <w:lang w:val="sk-SK"/>
        </w:rPr>
        <w:t xml:space="preserve"> od nadobudnutia platnosti a účinnosti tejto zmluvy.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9"/>
        </w:numPr>
        <w:tabs>
          <w:tab w:val="clear" w:pos="840"/>
          <w:tab w:val="num" w:pos="-6237"/>
          <w:tab w:val="left" w:pos="-5245"/>
        </w:tabs>
        <w:suppressAutoHyphens/>
        <w:overflowPunct/>
        <w:autoSpaceDE/>
        <w:autoSpaceDN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Miestom dodania predmetu zmluvy je </w:t>
      </w:r>
      <w:r w:rsidRPr="00F015EA">
        <w:rPr>
          <w:rFonts w:ascii="Tahoma" w:hAnsi="Tahoma" w:cs="Tahoma"/>
          <w:bCs/>
          <w:color w:val="000000"/>
          <w:sz w:val="20"/>
          <w:szCs w:val="20"/>
          <w:lang w:val="sk-SK"/>
        </w:rPr>
        <w:t>BAMIPA, s.r.o., Továrenská 1219, 956 18 Bošany</w:t>
      </w:r>
      <w:r w:rsidRPr="00F015EA">
        <w:rPr>
          <w:rFonts w:ascii="Tahoma" w:hAnsi="Tahoma" w:cs="Tahoma"/>
          <w:sz w:val="20"/>
          <w:szCs w:val="20"/>
          <w:lang w:val="sk-SK"/>
        </w:rPr>
        <w:t>.</w:t>
      </w:r>
    </w:p>
    <w:p w:rsidR="00225321" w:rsidRPr="00F015EA" w:rsidRDefault="00225321" w:rsidP="002253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caps/>
          <w:sz w:val="20"/>
          <w:szCs w:val="20"/>
        </w:rPr>
        <w:t>č</w:t>
      </w:r>
      <w:r w:rsidRPr="00F015EA">
        <w:rPr>
          <w:rFonts w:ascii="Tahoma" w:hAnsi="Tahoma" w:cs="Tahoma"/>
          <w:b/>
          <w:sz w:val="20"/>
          <w:szCs w:val="20"/>
        </w:rPr>
        <w:t>l. IV</w:t>
      </w:r>
    </w:p>
    <w:p w:rsidR="00225321" w:rsidRPr="00F015EA" w:rsidRDefault="00225321" w:rsidP="002253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Cena za predmet zmluvy</w:t>
      </w:r>
    </w:p>
    <w:p w:rsidR="00225321" w:rsidRPr="00F015EA" w:rsidRDefault="00225321" w:rsidP="00225321">
      <w:pPr>
        <w:pStyle w:val="Zarkazkladnhotextu21"/>
        <w:numPr>
          <w:ilvl w:val="0"/>
          <w:numId w:val="39"/>
        </w:numPr>
        <w:tabs>
          <w:tab w:val="clear" w:pos="1694"/>
        </w:tabs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15EA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52"/>
        <w:gridCol w:w="4111"/>
      </w:tblGrid>
      <w:tr w:rsidR="00225321" w:rsidRPr="00F015EA" w:rsidTr="00225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25321" w:rsidRPr="00F015EA" w:rsidTr="00225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25321" w:rsidRPr="00F015EA" w:rsidTr="00225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321" w:rsidRPr="00F015EA" w:rsidRDefault="00225321" w:rsidP="002253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15E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225321" w:rsidRPr="00F015EA" w:rsidRDefault="00225321" w:rsidP="00225321">
      <w:pPr>
        <w:pStyle w:val="Zarkazkladnhotextu21"/>
        <w:tabs>
          <w:tab w:val="left" w:pos="540"/>
        </w:tabs>
        <w:spacing w:before="240"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225321" w:rsidRPr="00F015EA" w:rsidRDefault="00225321" w:rsidP="00225321">
      <w:pPr>
        <w:pStyle w:val="Zarkazkladnhotextu21"/>
        <w:numPr>
          <w:ilvl w:val="0"/>
          <w:numId w:val="39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225321" w:rsidRPr="00F015EA" w:rsidRDefault="00225321" w:rsidP="00225321">
      <w:pPr>
        <w:pStyle w:val="Zarkazkladnhotextu21"/>
        <w:numPr>
          <w:ilvl w:val="0"/>
          <w:numId w:val="39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Podrobná špecifikácia ceny je uvedená v Prílohe č.2 tejto zmluvy.</w:t>
      </w:r>
    </w:p>
    <w:p w:rsidR="00225321" w:rsidRPr="00F015EA" w:rsidRDefault="00225321" w:rsidP="00225321">
      <w:pPr>
        <w:pStyle w:val="Zarkazkladnhotextu21"/>
        <w:numPr>
          <w:ilvl w:val="0"/>
          <w:numId w:val="39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Platobné podmienky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963277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 vystavovaných dodávateľom. </w:t>
      </w: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Dodávateľ je oprávnený vystaviť konečnú (vyúčtovaciu) faktúru až po dodaní celého predmetu zmluvy a to až po úspešnom ukončení preberacieho konania. V konečnej vyúčtovacej faktúre budú vyúčtované poskytnuté zálohové platby a predpísaná úhradu zostatku kúpnej ceny vo výške </w:t>
      </w:r>
      <w:r>
        <w:rPr>
          <w:rFonts w:ascii="Tahoma" w:hAnsi="Tahoma" w:cs="Tahoma"/>
          <w:color w:val="auto"/>
          <w:sz w:val="20"/>
          <w:szCs w:val="20"/>
        </w:rPr>
        <w:t>20</w:t>
      </w:r>
      <w:r w:rsidRPr="00F015EA">
        <w:rPr>
          <w:rFonts w:ascii="Tahoma" w:hAnsi="Tahoma" w:cs="Tahoma"/>
          <w:color w:val="auto"/>
          <w:sz w:val="20"/>
          <w:szCs w:val="20"/>
        </w:rPr>
        <w:t xml:space="preserve"> % ceny predmetu zmluvy. Neoddeliteľnou súčasťou faktúry bude Protokol o prebratí predmetu zmluvy.</w:t>
      </w: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Splatnosť konečnej faktúry je 60 kalendárnych dní od jej preukázateľného doručenia objednávateľovi.</w:t>
      </w: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225321" w:rsidRPr="00F015EA" w:rsidRDefault="00225321" w:rsidP="00225321">
      <w:pPr>
        <w:numPr>
          <w:ilvl w:val="0"/>
          <w:numId w:val="10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Obj</w:t>
      </w:r>
      <w:r w:rsidR="00D357CA">
        <w:rPr>
          <w:rFonts w:ascii="Tahoma" w:hAnsi="Tahoma" w:cs="Tahoma"/>
          <w:color w:val="auto"/>
          <w:sz w:val="20"/>
          <w:szCs w:val="20"/>
        </w:rPr>
        <w:t xml:space="preserve">ednávateľ poskytne dodávateľovi preddavok </w:t>
      </w:r>
      <w:r w:rsidRPr="00F015EA">
        <w:rPr>
          <w:rFonts w:ascii="Tahoma" w:hAnsi="Tahoma" w:cs="Tahoma"/>
          <w:color w:val="auto"/>
          <w:sz w:val="20"/>
          <w:szCs w:val="20"/>
        </w:rPr>
        <w:t>na dodanie predmetu zmluvy nasledovne :</w:t>
      </w:r>
    </w:p>
    <w:p w:rsidR="00963277" w:rsidRPr="00AB15B3" w:rsidRDefault="00963277" w:rsidP="00963277">
      <w:pPr>
        <w:pStyle w:val="Odsekzoznamu"/>
        <w:numPr>
          <w:ilvl w:val="0"/>
          <w:numId w:val="19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vo výške </w:t>
      </w:r>
      <w:r w:rsidRPr="00AB15B3">
        <w:rPr>
          <w:rFonts w:ascii="Tahoma" w:hAnsi="Tahoma" w:cs="Tahoma"/>
          <w:color w:val="auto"/>
          <w:sz w:val="20"/>
          <w:szCs w:val="20"/>
        </w:rPr>
        <w:t>30 % ceny predmetu zmluvy v lehote do 7 kalendárnych dní od doručeni</w:t>
      </w:r>
      <w:r>
        <w:rPr>
          <w:rFonts w:ascii="Tahoma" w:hAnsi="Tahoma" w:cs="Tahoma"/>
          <w:color w:val="auto"/>
          <w:sz w:val="20"/>
          <w:szCs w:val="20"/>
        </w:rPr>
        <w:t>a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potvrdenia 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objednávky na dodanie predmetu zmluvy </w:t>
      </w:r>
      <w:r>
        <w:rPr>
          <w:rFonts w:ascii="Tahoma" w:hAnsi="Tahoma" w:cs="Tahoma"/>
          <w:color w:val="auto"/>
          <w:sz w:val="20"/>
          <w:szCs w:val="20"/>
        </w:rPr>
        <w:t xml:space="preserve">objednávateľovi </w:t>
      </w:r>
      <w:r w:rsidRPr="00AB15B3">
        <w:rPr>
          <w:rFonts w:ascii="Tahoma" w:hAnsi="Tahoma" w:cs="Tahoma"/>
          <w:color w:val="auto"/>
          <w:sz w:val="20"/>
          <w:szCs w:val="20"/>
        </w:rPr>
        <w:t>a</w:t>
      </w:r>
    </w:p>
    <w:p w:rsidR="00225321" w:rsidRPr="00963277" w:rsidRDefault="00963277" w:rsidP="00963277">
      <w:pPr>
        <w:pStyle w:val="Odsekzoznamu"/>
        <w:numPr>
          <w:ilvl w:val="0"/>
          <w:numId w:val="19"/>
        </w:numPr>
        <w:tabs>
          <w:tab w:val="left" w:pos="-6379"/>
        </w:tabs>
        <w:suppressAutoHyphens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vo výške </w:t>
      </w:r>
      <w:r w:rsidRPr="00AB15B3">
        <w:rPr>
          <w:rFonts w:ascii="Tahoma" w:hAnsi="Tahoma" w:cs="Tahoma"/>
          <w:color w:val="auto"/>
          <w:sz w:val="20"/>
          <w:szCs w:val="20"/>
        </w:rPr>
        <w:t xml:space="preserve">50 % ceny predmetu zmluvy v lehote do 7 kalendárnych dní odo dňa </w:t>
      </w:r>
      <w:r w:rsidRPr="001A44AA">
        <w:rPr>
          <w:rFonts w:ascii="Tahoma" w:hAnsi="Tahoma" w:cs="Tahoma"/>
          <w:color w:val="auto"/>
          <w:sz w:val="20"/>
          <w:szCs w:val="20"/>
        </w:rPr>
        <w:t>dodan</w:t>
      </w:r>
      <w:r>
        <w:rPr>
          <w:rFonts w:ascii="Tahoma" w:hAnsi="Tahoma" w:cs="Tahoma"/>
          <w:color w:val="auto"/>
          <w:sz w:val="20"/>
          <w:szCs w:val="20"/>
        </w:rPr>
        <w:t>ia</w:t>
      </w:r>
      <w:r w:rsidRPr="001A44AA">
        <w:rPr>
          <w:rFonts w:ascii="Tahoma" w:hAnsi="Tahoma" w:cs="Tahoma"/>
          <w:color w:val="auto"/>
          <w:sz w:val="20"/>
          <w:szCs w:val="20"/>
        </w:rPr>
        <w:t xml:space="preserve"> a vyložen</w:t>
      </w:r>
      <w:r>
        <w:rPr>
          <w:rFonts w:ascii="Tahoma" w:hAnsi="Tahoma" w:cs="Tahoma"/>
          <w:color w:val="auto"/>
          <w:sz w:val="20"/>
          <w:szCs w:val="20"/>
        </w:rPr>
        <w:t>ia</w:t>
      </w:r>
      <w:r w:rsidRPr="001A44AA">
        <w:rPr>
          <w:rFonts w:ascii="Tahoma" w:hAnsi="Tahoma" w:cs="Tahoma"/>
          <w:color w:val="auto"/>
          <w:sz w:val="20"/>
          <w:szCs w:val="20"/>
        </w:rPr>
        <w:t xml:space="preserve"> všetkých komponentov predmetu zmluvy v mieste dodania predmetu zmluvy </w:t>
      </w:r>
      <w:r>
        <w:rPr>
          <w:rFonts w:ascii="Tahoma" w:hAnsi="Tahoma" w:cs="Tahoma"/>
          <w:color w:val="auto"/>
          <w:sz w:val="20"/>
          <w:szCs w:val="20"/>
        </w:rPr>
        <w:t xml:space="preserve">a predloženia podpísaného </w:t>
      </w:r>
      <w:r w:rsidRPr="001A44AA">
        <w:rPr>
          <w:rFonts w:ascii="Tahoma" w:hAnsi="Tahoma" w:cs="Tahoma"/>
          <w:color w:val="auto"/>
          <w:sz w:val="20"/>
          <w:szCs w:val="20"/>
        </w:rPr>
        <w:t>– Dodací list o dodaní všetkých komponentov predmetu zmluvy</w:t>
      </w:r>
      <w:r w:rsidR="00225321" w:rsidRPr="00963277">
        <w:rPr>
          <w:rFonts w:ascii="Tahoma" w:hAnsi="Tahoma" w:cs="Tahoma"/>
          <w:color w:val="auto"/>
          <w:sz w:val="20"/>
          <w:szCs w:val="20"/>
        </w:rPr>
        <w:t xml:space="preserve">.  </w:t>
      </w:r>
    </w:p>
    <w:p w:rsidR="00225321" w:rsidRDefault="00225321" w:rsidP="00225321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Dodávateľ je povinný vystaviť záloh</w:t>
      </w:r>
      <w:r w:rsidR="00901382">
        <w:rPr>
          <w:rFonts w:ascii="Tahoma" w:hAnsi="Tahoma" w:cs="Tahoma"/>
          <w:color w:val="auto"/>
          <w:sz w:val="20"/>
          <w:szCs w:val="20"/>
        </w:rPr>
        <w:t xml:space="preserve">ové </w:t>
      </w:r>
      <w:r w:rsidRPr="00F015EA">
        <w:rPr>
          <w:rFonts w:ascii="Tahoma" w:hAnsi="Tahoma" w:cs="Tahoma"/>
          <w:color w:val="auto"/>
          <w:sz w:val="20"/>
          <w:szCs w:val="20"/>
        </w:rPr>
        <w:t>faktúr</w:t>
      </w:r>
      <w:r w:rsidR="00901382">
        <w:rPr>
          <w:rFonts w:ascii="Tahoma" w:hAnsi="Tahoma" w:cs="Tahoma"/>
          <w:color w:val="auto"/>
          <w:sz w:val="20"/>
          <w:szCs w:val="20"/>
        </w:rPr>
        <w:t>y</w:t>
      </w:r>
      <w:r w:rsidRPr="00F015EA">
        <w:rPr>
          <w:rFonts w:ascii="Tahoma" w:hAnsi="Tahoma" w:cs="Tahoma"/>
          <w:color w:val="auto"/>
          <w:sz w:val="20"/>
          <w:szCs w:val="20"/>
        </w:rPr>
        <w:t xml:space="preserve"> na poskytnut</w:t>
      </w:r>
      <w:r w:rsidR="00901382">
        <w:rPr>
          <w:rFonts w:ascii="Tahoma" w:hAnsi="Tahoma" w:cs="Tahoma"/>
          <w:color w:val="auto"/>
          <w:sz w:val="20"/>
          <w:szCs w:val="20"/>
        </w:rPr>
        <w:t xml:space="preserve">é </w:t>
      </w:r>
      <w:r w:rsidR="00D357CA">
        <w:rPr>
          <w:rFonts w:ascii="Tahoma" w:hAnsi="Tahoma" w:cs="Tahoma"/>
          <w:color w:val="auto"/>
          <w:sz w:val="20"/>
          <w:szCs w:val="20"/>
        </w:rPr>
        <w:t>preddavk</w:t>
      </w:r>
      <w:r w:rsidR="00901382">
        <w:rPr>
          <w:rFonts w:ascii="Tahoma" w:hAnsi="Tahoma" w:cs="Tahoma"/>
          <w:color w:val="auto"/>
          <w:sz w:val="20"/>
          <w:szCs w:val="20"/>
        </w:rPr>
        <w:t>y.</w:t>
      </w:r>
      <w:r w:rsidRPr="00F015EA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225321" w:rsidRPr="00F015EA" w:rsidRDefault="00225321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Predmet zmluvy musí byť dodaný ako nový, pričom za nový sa považuje, ak rok dodania je totožný s rokom výroby predmetu zmluvy, alebo ak rok výroby predmetu zmluvy je o jeden rok nižší ako je rok dodania predmetu zmluvy.</w:t>
      </w:r>
    </w:p>
    <w:p w:rsidR="00225321" w:rsidRPr="00F015EA" w:rsidRDefault="00225321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15EA">
        <w:rPr>
          <w:rFonts w:ascii="Tahoma" w:hAnsi="Tahoma" w:cs="Tahoma"/>
          <w:sz w:val="20"/>
          <w:szCs w:val="20"/>
        </w:rPr>
        <w:t xml:space="preserve">Celý predmet zmluvy </w:t>
      </w:r>
      <w:r w:rsidRPr="00F015EA">
        <w:rPr>
          <w:rFonts w:ascii="Tahoma" w:hAnsi="Tahoma" w:cs="Tahoma"/>
          <w:bCs/>
          <w:sz w:val="20"/>
          <w:szCs w:val="20"/>
        </w:rPr>
        <w:t>musí byť certifikovaný v súlade s platnou legislatívou EÚ a SR.</w:t>
      </w:r>
    </w:p>
    <w:p w:rsidR="00D74D5E" w:rsidRPr="00D74D5E" w:rsidRDefault="00225321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7C064A">
        <w:rPr>
          <w:rFonts w:ascii="Tahoma" w:hAnsi="Tahoma" w:cs="Tahoma"/>
          <w:bCs/>
          <w:color w:val="auto"/>
          <w:sz w:val="20"/>
          <w:szCs w:val="20"/>
        </w:rPr>
        <w:t xml:space="preserve">Zmluvné strany sa dohodli, že dodávateľ dodá k predmetu zmluvy všetky návody na obsluhu </w:t>
      </w:r>
      <w:r w:rsidR="00D74D5E">
        <w:rPr>
          <w:rFonts w:ascii="Tahoma" w:hAnsi="Tahoma" w:cs="Tahoma"/>
          <w:bCs/>
          <w:color w:val="auto"/>
          <w:sz w:val="20"/>
          <w:szCs w:val="20"/>
        </w:rPr>
        <w:t xml:space="preserve">a návody na </w:t>
      </w:r>
      <w:r w:rsidRPr="007C064A">
        <w:rPr>
          <w:rFonts w:ascii="Tahoma" w:hAnsi="Tahoma" w:cs="Arial"/>
          <w:color w:val="auto"/>
          <w:sz w:val="20"/>
        </w:rPr>
        <w:t>programovanie</w:t>
      </w:r>
      <w:r w:rsidR="00D74D5E">
        <w:rPr>
          <w:rFonts w:ascii="Tahoma" w:hAnsi="Tahoma" w:cs="Arial"/>
          <w:color w:val="auto"/>
          <w:sz w:val="20"/>
        </w:rPr>
        <w:t xml:space="preserve"> a návody na</w:t>
      </w:r>
      <w:r w:rsidRPr="007C064A">
        <w:rPr>
          <w:rFonts w:ascii="Tahoma" w:hAnsi="Tahoma" w:cs="Arial"/>
          <w:color w:val="auto"/>
          <w:sz w:val="20"/>
        </w:rPr>
        <w:t xml:space="preserve"> údržbu a zoznam chybových hlásení v slovenskom jazyku.</w:t>
      </w:r>
    </w:p>
    <w:p w:rsidR="00225321" w:rsidRDefault="00225321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7C064A">
        <w:rPr>
          <w:rFonts w:ascii="Tahoma" w:hAnsi="Tahoma" w:cs="Tahoma"/>
          <w:color w:val="auto"/>
          <w:sz w:val="20"/>
          <w:szCs w:val="20"/>
        </w:rPr>
        <w:t xml:space="preserve">Objednávateľ zabezpečí na vlastné náklady vybudovanie základov a iné technické a prevádzkové podmienky na dodanie a montáž a uvedenie do prevádzky predmetu zmluvy a to v lehotách požadovaných dodávateľom, ak to bude potrebné, a to v súlade s dokumentáciou s názvom „Stavebná a technická pripravenosť objednávateľa“, ktorý dodávateľ preukázateľné doručí objednávateľov najneskôr do 5 pracovných dní od dňa nadobudnutia platnosti a účinnosti tejto zmluvy. </w:t>
      </w:r>
    </w:p>
    <w:p w:rsidR="00963277" w:rsidRPr="007C064A" w:rsidRDefault="00963277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3576EF">
        <w:rPr>
          <w:rFonts w:ascii="Tahoma" w:hAnsi="Tahoma" w:cs="Tahoma"/>
          <w:color w:val="auto"/>
          <w:sz w:val="20"/>
          <w:szCs w:val="20"/>
        </w:rPr>
        <w:t>Zmluvné strany sa dohodli, že po dodaní a vyložení všetkých komponentov predmetu zmluvy v mieste dodania</w:t>
      </w:r>
      <w:r>
        <w:rPr>
          <w:rFonts w:ascii="Tahoma" w:hAnsi="Tahoma" w:cs="Tahoma"/>
          <w:color w:val="auto"/>
          <w:sz w:val="20"/>
          <w:szCs w:val="20"/>
        </w:rPr>
        <w:t xml:space="preserve"> predmetu zmluvy</w:t>
      </w:r>
      <w:r w:rsidRPr="003576EF">
        <w:rPr>
          <w:rFonts w:ascii="Tahoma" w:hAnsi="Tahoma" w:cs="Tahoma"/>
          <w:color w:val="auto"/>
          <w:sz w:val="20"/>
          <w:szCs w:val="20"/>
        </w:rPr>
        <w:t xml:space="preserve"> poverení zástupcovia zmluvných strán o tom spíšu písomný záznam </w:t>
      </w:r>
      <w:r>
        <w:rPr>
          <w:rFonts w:ascii="Tahoma" w:hAnsi="Tahoma" w:cs="Tahoma"/>
          <w:color w:val="auto"/>
          <w:sz w:val="20"/>
          <w:szCs w:val="20"/>
        </w:rPr>
        <w:t>– Dodací list o dodaní všetkých komponentov predmetu zmluvy.</w:t>
      </w:r>
    </w:p>
    <w:p w:rsidR="00225321" w:rsidRPr="00F015EA" w:rsidRDefault="00225321" w:rsidP="00D74D5E">
      <w:pPr>
        <w:widowControl w:val="0"/>
        <w:numPr>
          <w:ilvl w:val="1"/>
          <w:numId w:val="54"/>
        </w:numPr>
        <w:tabs>
          <w:tab w:val="left" w:pos="-5529"/>
          <w:tab w:val="left" w:pos="-5387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Zmluvné strany sa dohodli, že po vykonaní montáže a uvedení predmetu zmluvy do prevádzky vykonajú poverení zástupcovia zmluvných strán preberacie konanie. Úspešným ukončením preberacieho konania bude preukázanie dosiahnutia všetkých parametrov, ktoré sú v tejto zmluve a Prílohe č. 1 tejto zmluvy. Po úspešnom ukončení preberacieho konania poverení zástupcovia zmluvných strán spíšu písomný záznam o prebratí predmetu zmluvy - Protokol o prebratí predmetu zmluvy. </w:t>
      </w:r>
    </w:p>
    <w:p w:rsidR="00225321" w:rsidRPr="00F015EA" w:rsidRDefault="00225321" w:rsidP="00D74D5E">
      <w:pPr>
        <w:widowControl w:val="0"/>
        <w:numPr>
          <w:ilvl w:val="1"/>
          <w:numId w:val="54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>Nebezpečenstvo škody na predmete zmluvy, ako aj na veciach a materiáloch, potrebných na dodanie predmetu zmluvy znášať dodávateľ až do času písomného  prevzatia predmetu zmluvy objednávateľom, t.j. podpisu protokolu o prebratí predmetu zmluvy, pričom objednávateľ zabezpečí že do miesta umiestnenia predmetu zmluvy zabezpečí prístup výhradne zástupcom dodávateľa.</w:t>
      </w:r>
    </w:p>
    <w:p w:rsidR="00225321" w:rsidRPr="00F015EA" w:rsidRDefault="00225321" w:rsidP="00D74D5E">
      <w:pPr>
        <w:pStyle w:val="Zkladntext211"/>
        <w:widowControl w:val="0"/>
        <w:numPr>
          <w:ilvl w:val="1"/>
          <w:numId w:val="54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225321" w:rsidRPr="00F015EA" w:rsidRDefault="00225321" w:rsidP="00D74D5E">
      <w:pPr>
        <w:pStyle w:val="Zkladntext211"/>
        <w:widowControl w:val="0"/>
        <w:numPr>
          <w:ilvl w:val="1"/>
          <w:numId w:val="54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Objednávateľ je oprávnený od tejto zmluvy odstúpiť v prípade, že predmet zmluvy nebude dodaný ako „nový“ podľa bodu 1 tohto článku. Odstúpenie je účinné dňom jeho doručenia druhej zmluvnej strane.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VII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- odstránenie reklamovanej vady bezplatne v mieste umiestenia predmetu zmluvy a </w:t>
      </w:r>
    </w:p>
    <w:p w:rsidR="00225321" w:rsidRPr="0020687B" w:rsidRDefault="00225321" w:rsidP="00225321">
      <w:pPr>
        <w:pStyle w:val="Zkladntext3"/>
        <w:ind w:left="720"/>
        <w:jc w:val="both"/>
        <w:rPr>
          <w:rFonts w:ascii="Tahoma" w:hAnsi="Tahoma" w:cs="Tahoma"/>
          <w:b/>
          <w:sz w:val="20"/>
        </w:rPr>
      </w:pPr>
      <w:r w:rsidRPr="0020687B">
        <w:rPr>
          <w:rFonts w:ascii="Tahoma" w:hAnsi="Tahoma" w:cs="Tahoma"/>
          <w:sz w:val="20"/>
        </w:rPr>
        <w:t xml:space="preserve">- reakciu </w:t>
      </w:r>
      <w:r>
        <w:rPr>
          <w:rFonts w:ascii="Tahoma" w:hAnsi="Tahoma" w:cs="Tahoma"/>
          <w:sz w:val="20"/>
        </w:rPr>
        <w:t>dodávateľa</w:t>
      </w:r>
      <w:r w:rsidRPr="0020687B">
        <w:rPr>
          <w:rFonts w:ascii="Tahoma" w:hAnsi="Tahoma" w:cs="Tahoma"/>
          <w:sz w:val="20"/>
        </w:rPr>
        <w:t xml:space="preserve"> na reklamovanú vadu do 12 hodín od jej nahlásenia </w:t>
      </w:r>
      <w:r>
        <w:rPr>
          <w:rFonts w:ascii="Tahoma" w:hAnsi="Tahoma" w:cs="Tahoma"/>
          <w:sz w:val="20"/>
        </w:rPr>
        <w:t>dodávateľovi</w:t>
      </w:r>
      <w:r w:rsidRPr="0020687B">
        <w:rPr>
          <w:rFonts w:ascii="Tahoma" w:hAnsi="Tahoma" w:cs="Tahoma"/>
          <w:sz w:val="20"/>
        </w:rPr>
        <w:t xml:space="preserve"> a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- reakciu dodávateľa na reklamovanú vadu do 24 hodín od jej nahlásenia dodávateľovi a</w:t>
      </w:r>
    </w:p>
    <w:p w:rsidR="00225321" w:rsidRPr="0020687B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- </w:t>
      </w:r>
      <w:r w:rsidRPr="0020687B">
        <w:rPr>
          <w:rFonts w:ascii="Tahoma" w:hAnsi="Tahoma" w:cs="Tahoma"/>
          <w:sz w:val="20"/>
        </w:rPr>
        <w:t xml:space="preserve">odstránenie reklamovanej vady najneskôr do 48 hodín od </w:t>
      </w:r>
      <w:r>
        <w:rPr>
          <w:rFonts w:ascii="Tahoma" w:hAnsi="Tahoma" w:cs="Tahoma"/>
          <w:sz w:val="20"/>
        </w:rPr>
        <w:t xml:space="preserve">jej </w:t>
      </w:r>
      <w:r w:rsidRPr="0020687B">
        <w:rPr>
          <w:rFonts w:ascii="Tahoma" w:hAnsi="Tahoma" w:cs="Tahoma"/>
          <w:sz w:val="20"/>
        </w:rPr>
        <w:t xml:space="preserve">nahlásenie </w:t>
      </w:r>
      <w:r>
        <w:rPr>
          <w:rFonts w:ascii="Tahoma" w:hAnsi="Tahoma" w:cs="Tahoma"/>
          <w:sz w:val="20"/>
        </w:rPr>
        <w:t>dodávateľovi a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/>
          <w:sz w:val="20"/>
        </w:rPr>
        <w:t xml:space="preserve">- </w:t>
      </w:r>
      <w:r>
        <w:rPr>
          <w:rFonts w:ascii="Tahoma" w:hAnsi="Tahoma" w:cs="Arial"/>
          <w:sz w:val="20"/>
        </w:rPr>
        <w:t xml:space="preserve">dodávku náhradných dielov alebo spotrebného materiálu nevyhnutného na zabezpečenie riadnej  </w:t>
      </w:r>
    </w:p>
    <w:p w:rsidR="00225321" w:rsidRDefault="00225321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 xml:space="preserve">  prevádzky predmetu zmluvy do 48 hodín od nahlásenia objednávky dodávateľovi.</w:t>
      </w:r>
    </w:p>
    <w:p w:rsidR="00B60DEF" w:rsidRDefault="00B60DEF" w:rsidP="00225321">
      <w:pPr>
        <w:pStyle w:val="Zkladntext3"/>
        <w:ind w:left="720"/>
        <w:jc w:val="both"/>
        <w:rPr>
          <w:rFonts w:ascii="Tahoma" w:hAnsi="Tahoma" w:cs="Arial"/>
          <w:sz w:val="20"/>
        </w:rPr>
      </w:pP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Objednávateľ umožní dodávateľovi prístup do priestorov, kde sa budú vady počas záručnej doby </w:t>
      </w:r>
      <w:r w:rsidRPr="00F015EA">
        <w:rPr>
          <w:rFonts w:ascii="Tahoma" w:hAnsi="Tahoma" w:cs="Tahoma"/>
          <w:sz w:val="20"/>
          <w:szCs w:val="20"/>
          <w:lang w:val="sk-SK"/>
        </w:rPr>
        <w:lastRenderedPageBreak/>
        <w:t>odstraňovať.</w:t>
      </w:r>
    </w:p>
    <w:p w:rsidR="00225321" w:rsidRPr="00F015EA" w:rsidRDefault="00225321" w:rsidP="00225321">
      <w:pPr>
        <w:pStyle w:val="Zkladntext211"/>
        <w:widowControl w:val="0"/>
        <w:numPr>
          <w:ilvl w:val="2"/>
          <w:numId w:val="42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VIII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4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Čl. IX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Osobitné ustanovenia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sa dohodli, ak predmet zmluvy nebude spĺňať čo i len jeden z parametrov, uvedených v </w:t>
      </w:r>
      <w:r w:rsidRPr="00A14050">
        <w:rPr>
          <w:rFonts w:ascii="Tahoma" w:hAnsi="Tahoma" w:cs="Tahoma"/>
          <w:sz w:val="20"/>
          <w:szCs w:val="20"/>
          <w:lang w:val="sk-SK"/>
        </w:rPr>
        <w:t>tejto zmluve a Prílohe č. 1 tejto</w:t>
      </w:r>
      <w:r w:rsidRPr="00F015EA">
        <w:rPr>
          <w:rFonts w:ascii="Tahoma" w:hAnsi="Tahoma" w:cs="Tahoma"/>
          <w:sz w:val="20"/>
          <w:szCs w:val="20"/>
          <w:lang w:val="sk-SK"/>
        </w:rPr>
        <w:t xml:space="preserve"> zmluvy objednávateľ nepreberie predmet zmluvy ako celok a dodávateľ nemá právo vzniesť žiadne nároky voči objednávateľovi.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225321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225321" w:rsidRPr="00321C6B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225321" w:rsidRPr="00321C6B" w:rsidRDefault="00225321" w:rsidP="00225321">
      <w:pPr>
        <w:pStyle w:val="Odsekzoznamu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Obchodné meno:</w:t>
      </w:r>
    </w:p>
    <w:p w:rsidR="00225321" w:rsidRPr="00321C6B" w:rsidRDefault="00225321" w:rsidP="00225321">
      <w:pPr>
        <w:pStyle w:val="Odsekzoznamu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Sídlo/ miesto podnikania:</w:t>
      </w:r>
    </w:p>
    <w:p w:rsidR="00225321" w:rsidRPr="00321C6B" w:rsidRDefault="00225321" w:rsidP="00225321">
      <w:pPr>
        <w:pStyle w:val="Odsekzoznamu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IČO:</w:t>
      </w:r>
    </w:p>
    <w:p w:rsidR="00225321" w:rsidRPr="00321C6B" w:rsidRDefault="00225321" w:rsidP="00225321">
      <w:pPr>
        <w:pStyle w:val="Odsekzoznamu"/>
        <w:numPr>
          <w:ilvl w:val="0"/>
          <w:numId w:val="50"/>
        </w:numPr>
        <w:jc w:val="both"/>
        <w:rPr>
          <w:rFonts w:ascii="Tahoma" w:hAnsi="Tahoma" w:cs="Tahoma"/>
          <w:sz w:val="20"/>
          <w:szCs w:val="20"/>
        </w:rPr>
      </w:pPr>
      <w:r w:rsidRPr="00321C6B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225321" w:rsidRPr="00321C6B" w:rsidRDefault="00225321" w:rsidP="00225321">
      <w:pPr>
        <w:pStyle w:val="Odsekzoznamu"/>
        <w:numPr>
          <w:ilvl w:val="0"/>
          <w:numId w:val="50"/>
        </w:numPr>
        <w:jc w:val="both"/>
        <w:rPr>
          <w:rFonts w:ascii="Tahoma" w:hAnsi="Tahoma" w:cs="Tahoma"/>
          <w:color w:val="FF0000"/>
          <w:sz w:val="20"/>
          <w:szCs w:val="20"/>
        </w:rPr>
      </w:pPr>
      <w:r w:rsidRPr="00321C6B">
        <w:rPr>
          <w:rFonts w:ascii="Tahoma" w:hAnsi="Tahoma" w:cs="Tahoma"/>
          <w:color w:val="FF0000"/>
          <w:sz w:val="20"/>
          <w:szCs w:val="20"/>
        </w:rPr>
        <w:t>(uchádzač použije toľko krát koľko uvádza subdodávateľov)</w:t>
      </w:r>
    </w:p>
    <w:p w:rsidR="00225321" w:rsidRPr="00321C6B" w:rsidRDefault="00225321" w:rsidP="00225321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225321" w:rsidRPr="00321C6B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:rsidR="00225321" w:rsidRPr="00321C6B" w:rsidRDefault="00225321" w:rsidP="00225321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ab/>
      </w:r>
    </w:p>
    <w:p w:rsidR="00225321" w:rsidRPr="00321C6B" w:rsidRDefault="00225321" w:rsidP="00225321">
      <w:pPr>
        <w:pStyle w:val="Zkladntext211"/>
        <w:widowControl w:val="0"/>
        <w:numPr>
          <w:ilvl w:val="0"/>
          <w:numId w:val="45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321C6B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 tohto článku zmluvy za iného subdodávateľa/ov je možná len na základe písomného schválenia zo strany objednávateľa. Dodávateľ je povinný uviesť vo svojom návrhu na zmenu subdodávateľa/ov všetky údaje v zmysle ods. </w:t>
      </w:r>
      <w:r>
        <w:rPr>
          <w:rFonts w:ascii="Tahoma" w:hAnsi="Tahoma" w:cs="Tahoma"/>
          <w:sz w:val="20"/>
          <w:szCs w:val="20"/>
          <w:lang w:val="sk-SK"/>
        </w:rPr>
        <w:t>5</w:t>
      </w:r>
      <w:r w:rsidRPr="00321C6B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321C6B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0307C3" w:rsidRDefault="000307C3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B651B0" w:rsidRDefault="00B651B0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B651B0" w:rsidRDefault="00B651B0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B651B0" w:rsidRDefault="00B651B0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25321" w:rsidRPr="00F015EA" w:rsidRDefault="00225321" w:rsidP="002253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lastRenderedPageBreak/>
        <w:t>Čl. X</w:t>
      </w:r>
    </w:p>
    <w:p w:rsidR="00225321" w:rsidRPr="00F015EA" w:rsidRDefault="00225321" w:rsidP="002253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15EA">
        <w:rPr>
          <w:rFonts w:ascii="Tahoma" w:hAnsi="Tahoma" w:cs="Tahoma"/>
          <w:b/>
          <w:sz w:val="20"/>
          <w:szCs w:val="20"/>
        </w:rPr>
        <w:t>Záverečné ustanovenia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Táto zmluva nadobúda platnosť a účinnosť dňom podpisu obidvomi zmluvnými stranami.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225321" w:rsidRPr="00F015EA" w:rsidRDefault="00225321" w:rsidP="00225321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F015EA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225321" w:rsidRPr="00F015EA" w:rsidRDefault="00225321" w:rsidP="00225321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225321" w:rsidRPr="00F015EA" w:rsidRDefault="00225321" w:rsidP="00225321">
      <w:pPr>
        <w:pStyle w:val="Zkladntext211"/>
        <w:widowControl w:val="0"/>
        <w:numPr>
          <w:ilvl w:val="1"/>
          <w:numId w:val="46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225321" w:rsidRPr="00F015EA" w:rsidRDefault="00225321" w:rsidP="00225321">
      <w:pPr>
        <w:pStyle w:val="Zkladntext211"/>
        <w:widowControl w:val="0"/>
        <w:numPr>
          <w:ilvl w:val="0"/>
          <w:numId w:val="47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225321" w:rsidRDefault="00225321" w:rsidP="00225321">
      <w:pPr>
        <w:pStyle w:val="Zkladntext211"/>
        <w:widowControl w:val="0"/>
        <w:numPr>
          <w:ilvl w:val="0"/>
          <w:numId w:val="47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225321" w:rsidRPr="00F015EA" w:rsidRDefault="00225321" w:rsidP="00225321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225321" w:rsidRPr="00F015EA" w:rsidRDefault="00225321" w:rsidP="00225321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ab/>
      </w:r>
    </w:p>
    <w:p w:rsidR="00225321" w:rsidRPr="00F015EA" w:rsidRDefault="00225321" w:rsidP="002253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Bošany, dňa ........</w:t>
      </w:r>
      <w:r>
        <w:rPr>
          <w:rFonts w:ascii="Tahoma" w:hAnsi="Tahoma" w:cs="Tahoma"/>
          <w:sz w:val="20"/>
          <w:szCs w:val="20"/>
          <w:lang w:val="sk-SK"/>
        </w:rPr>
        <w:t>.............</w:t>
      </w:r>
      <w:r w:rsidRPr="00F015EA">
        <w:rPr>
          <w:rFonts w:ascii="Tahoma" w:hAnsi="Tahoma" w:cs="Tahoma"/>
          <w:sz w:val="20"/>
          <w:szCs w:val="20"/>
          <w:lang w:val="sk-SK"/>
        </w:rPr>
        <w:t>....</w:t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>v ...........</w:t>
      </w:r>
      <w:r>
        <w:rPr>
          <w:rFonts w:ascii="Tahoma" w:hAnsi="Tahoma" w:cs="Tahoma"/>
          <w:sz w:val="20"/>
          <w:szCs w:val="20"/>
          <w:lang w:val="sk-SK"/>
        </w:rPr>
        <w:t>......</w:t>
      </w:r>
      <w:r w:rsidRPr="00F015EA">
        <w:rPr>
          <w:rFonts w:ascii="Tahoma" w:hAnsi="Tahoma" w:cs="Tahoma"/>
          <w:sz w:val="20"/>
          <w:szCs w:val="20"/>
          <w:lang w:val="sk-SK"/>
        </w:rPr>
        <w:t>...................., dňa .............</w:t>
      </w:r>
    </w:p>
    <w:p w:rsidR="00225321" w:rsidRDefault="00225321" w:rsidP="002253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651B0" w:rsidRDefault="00B651B0" w:rsidP="002253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651B0" w:rsidRPr="00F015EA" w:rsidRDefault="00B651B0" w:rsidP="002253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25321" w:rsidRPr="00F015EA" w:rsidRDefault="00225321" w:rsidP="002253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25321" w:rsidRPr="00F015EA" w:rsidRDefault="00225321" w:rsidP="00225321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225321" w:rsidRDefault="00225321" w:rsidP="00B60DEF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F015EA">
        <w:rPr>
          <w:rFonts w:ascii="Tahoma" w:hAnsi="Tahoma" w:cs="Tahoma"/>
          <w:sz w:val="20"/>
          <w:szCs w:val="20"/>
        </w:rPr>
        <w:t>JUDr. Ján Miškeje, konateľ</w:t>
      </w:r>
    </w:p>
    <w:p w:rsidR="00901B17" w:rsidRPr="00D84D6C" w:rsidRDefault="00225321" w:rsidP="00225321">
      <w:pPr>
        <w:jc w:val="right"/>
        <w:rPr>
          <w:rFonts w:cs="Arial"/>
          <w:b/>
        </w:rPr>
      </w:pPr>
      <w:r>
        <w:rPr>
          <w:rFonts w:ascii="Tahoma" w:hAnsi="Tahoma" w:cs="Tahoma"/>
          <w:b/>
          <w:caps/>
          <w:spacing w:val="30"/>
          <w:sz w:val="20"/>
          <w:szCs w:val="20"/>
        </w:rPr>
        <w:br w:type="page"/>
      </w:r>
      <w:r w:rsidR="00901B17" w:rsidRPr="00D84D6C">
        <w:rPr>
          <w:rFonts w:cs="Arial"/>
          <w:b/>
        </w:rPr>
        <w:lastRenderedPageBreak/>
        <w:t>Príloha č. 1</w:t>
      </w:r>
    </w:p>
    <w:p w:rsidR="00901B17" w:rsidRPr="00F015EA" w:rsidRDefault="00901B17" w:rsidP="00901B17">
      <w:pPr>
        <w:pStyle w:val="Zkladntext211"/>
        <w:widowControl w:val="0"/>
        <w:jc w:val="center"/>
        <w:rPr>
          <w:rFonts w:ascii="Arial" w:hAnsi="Arial" w:cs="Arial"/>
          <w:b/>
          <w:lang w:val="sk-SK"/>
        </w:rPr>
      </w:pPr>
      <w:r w:rsidRPr="00D84D6C">
        <w:rPr>
          <w:rFonts w:ascii="Arial" w:hAnsi="Arial" w:cs="Arial"/>
          <w:b/>
          <w:lang w:val="sk-SK"/>
        </w:rPr>
        <w:t>Podrobná špecifikácia predmetu zmluvy</w:t>
      </w:r>
    </w:p>
    <w:tbl>
      <w:tblPr>
        <w:tblStyle w:val="Mriekatabuky"/>
        <w:tblW w:w="0" w:type="auto"/>
        <w:jc w:val="center"/>
        <w:tblLook w:val="04A0"/>
      </w:tblPr>
      <w:tblGrid>
        <w:gridCol w:w="7197"/>
        <w:gridCol w:w="1654"/>
        <w:gridCol w:w="1007"/>
      </w:tblGrid>
      <w:tr w:rsidR="00901B17" w:rsidRPr="00C22AA3" w:rsidTr="00225321">
        <w:trPr>
          <w:trHeight w:val="155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opis</w:t>
            </w:r>
          </w:p>
        </w:tc>
        <w:tc>
          <w:tcPr>
            <w:tcW w:w="1654" w:type="dxa"/>
            <w:noWrap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H</w:t>
            </w:r>
            <w:r w:rsidRPr="000168E1">
              <w:rPr>
                <w:rFonts w:ascii="Tahoma" w:hAnsi="Tahoma" w:cs="Tahoma"/>
                <w:bCs/>
                <w:sz w:val="20"/>
                <w:szCs w:val="20"/>
              </w:rPr>
              <w:t>odnota</w:t>
            </w:r>
          </w:p>
        </w:tc>
        <w:tc>
          <w:tcPr>
            <w:tcW w:w="1007" w:type="dxa"/>
            <w:noWrap/>
            <w:hideMark/>
          </w:tcPr>
          <w:p w:rsidR="00901B17" w:rsidRPr="000168E1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901B17" w:rsidRPr="00C22AA3" w:rsidTr="00225321">
        <w:trPr>
          <w:trHeight w:val="461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Automatizovaná linka s riadiacim všetkých vykonávaných operácií automatizovaným systémom a automatizované riadenie vstupu a výstupu v zariadeniach vykonávajúcim jednotlivé operácie a vykonávaním kontrolných a triediacich úkonov a automatizovaným zberom a triedení údajov a dát pre riadenie dostupnosti zariadení a preventívnej/prediktívnej údržby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25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Riadenie linky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29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Programovanie linky – vzdialené (v kancelárii)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19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Základné ovládacie prvky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37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Spracovaný polotovar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461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Veľkosť spracovaného polotovaru </w:t>
            </w:r>
          </w:p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– v rozsahu uvedenom v Tab. č. 1 – Veľkosti Pánska a Dámska a detská obuc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461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Materiál vstupného polotovaru </w:t>
            </w:r>
          </w:p>
          <w:p w:rsidR="00901B17" w:rsidRPr="000168E1" w:rsidRDefault="00901B17" w:rsidP="00225321">
            <w:pPr>
              <w:pStyle w:val="Odsekzoznamu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 xml:space="preserve">guma ( IR + BR  / NR + BR / NBR ) alebo </w:t>
            </w:r>
          </w:p>
          <w:p w:rsidR="00901B17" w:rsidRPr="000168E1" w:rsidRDefault="00901B17" w:rsidP="00225321">
            <w:pPr>
              <w:pStyle w:val="Odsekzoznamu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guma </w:t>
            </w:r>
            <w:r w:rsidRPr="000168E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( IR + BR  / NR + BR / NBR )</w:t>
            </w:r>
            <w:r w:rsidRPr="000168E1">
              <w:rPr>
                <w:rFonts w:ascii="Tahoma" w:hAnsi="Tahoma" w:cs="Tahoma"/>
                <w:bCs/>
                <w:sz w:val="20"/>
                <w:szCs w:val="20"/>
              </w:rPr>
              <w:t> + netkaný textil </w:t>
            </w:r>
          </w:p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(IR  - </w:t>
            </w:r>
            <w:r w:rsidRPr="000168E1">
              <w:rPr>
                <w:rFonts w:ascii="Tahoma" w:hAnsi="Tahoma" w:cs="Tahoma"/>
                <w:color w:val="000000"/>
                <w:sz w:val="20"/>
                <w:szCs w:val="20"/>
              </w:rPr>
              <w:t>Isoprene rubber</w:t>
            </w:r>
          </w:p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color w:val="000000"/>
                <w:sz w:val="20"/>
                <w:szCs w:val="20"/>
              </w:rPr>
              <w:t>BR - Butadiene rubber</w:t>
            </w:r>
          </w:p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color w:val="000000"/>
                <w:sz w:val="20"/>
                <w:szCs w:val="20"/>
              </w:rPr>
              <w:t>NR - Natural rubber</w:t>
            </w:r>
          </w:p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color w:val="000000"/>
                <w:sz w:val="20"/>
                <w:szCs w:val="20"/>
              </w:rPr>
              <w:t>NBR - Nitrile butadiene rubber)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59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Opracovanie ľavej aj pravej podrážky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64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Vstupný zásobník vstupného polotovaru – vymeniteľný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461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Výmena vstupného zásobníka vstupného polotovaru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70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Plnenie vstupného zásobníka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83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Vstupný zásobník vstupného polotovaru - maximálna kapacita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901B17" w:rsidRPr="00C22AA3" w:rsidTr="00225321">
        <w:trPr>
          <w:trHeight w:val="237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Vstupný dopravník - výstup zo vstupného zásobníka na vstup do optické triediace zariadenia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41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Počet vstupný dopravník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31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Šírka vstupného dopravníka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49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Dĺžka vstupného dopravníka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461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Automatické kontrolné zariadenie vstupné – vykoná odobratie zo vstupného dopravníka a presunie ku kontrolnému snímaniu a následne vykoná zaradenie do sekcií</w:t>
            </w:r>
          </w:p>
          <w:p w:rsidR="00901B17" w:rsidRPr="000168E1" w:rsidRDefault="00901B17" w:rsidP="00901B17">
            <w:pPr>
              <w:pStyle w:val="Odsekzoznamu"/>
              <w:numPr>
                <w:ilvl w:val="0"/>
                <w:numId w:val="52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vyhovuje etalónu</w:t>
            </w:r>
          </w:p>
          <w:p w:rsidR="00901B17" w:rsidRPr="000168E1" w:rsidRDefault="00901B17" w:rsidP="00901B17">
            <w:pPr>
              <w:pStyle w:val="Odsekzoznamu"/>
              <w:numPr>
                <w:ilvl w:val="0"/>
                <w:numId w:val="52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na oprava</w:t>
            </w:r>
          </w:p>
          <w:p w:rsidR="00901B17" w:rsidRPr="000168E1" w:rsidRDefault="00901B17" w:rsidP="00901B17">
            <w:pPr>
              <w:pStyle w:val="Odsekzoznamu"/>
              <w:numPr>
                <w:ilvl w:val="0"/>
                <w:numId w:val="52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neopraviteľné – odpad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15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Automatické kontrolné zariadenie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77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 xml:space="preserve">Výstupné zariadenie pre výstup z optického kontrolného zaradenia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ks</w:t>
            </w:r>
          </w:p>
        </w:tc>
      </w:tr>
      <w:tr w:rsidR="00901B17" w:rsidRPr="00C22AA3" w:rsidTr="00225321">
        <w:trPr>
          <w:trHeight w:val="267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 xml:space="preserve">Výstupné zariadenie na presun do orezávacieho zariadenia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271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 xml:space="preserve">Výstupné zariadenie na presun do zásobníka na opravu podošiev 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147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 xml:space="preserve">Výstupné zariadenie na presun do orezávacieho zariadenia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461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Orezávacie zariadenie –vykoná kontúrové orezávanie podošiev vyhovujúce etalónu a to bez deformácie a materiálovej zmeny vstupného polotovaru do tvaru predpísaného etalónu hotovej podošvy príslušnej rozmerovej rady a model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0168E1">
              <w:rPr>
                <w:rFonts w:ascii="Tahoma" w:hAnsi="Tahoma" w:cs="Tahoma"/>
                <w:bCs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19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Manipulačné zariadenie na odber z orezávacieho zariadenia do automatického kontrolného výstupnéhozariadenia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19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Automatické kontrolné zariadenie výstupné – vykoná odobratie z prepravného dopravníka od orezávacieho zariadenia a presunie ku kontrolnému snímaniu, ktoré vykoná automatickú kontrolu kvality, farebnosti a iných definovaných parametrov. </w:t>
            </w:r>
          </w:p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Vykoná automatickú selekciu na sekcie :</w:t>
            </w:r>
          </w:p>
          <w:p w:rsidR="00901B17" w:rsidRPr="000168E1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na balenie</w:t>
            </w:r>
          </w:p>
          <w:p w:rsidR="00901B17" w:rsidRPr="000168E1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na ďalšie spracovanie </w:t>
            </w:r>
          </w:p>
          <w:p w:rsidR="00901B17" w:rsidRPr="000168E1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halogenizáciu a dofarbovanie </w:t>
            </w:r>
          </w:p>
          <w:p w:rsidR="00901B17" w:rsidRPr="000168E1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na opravy</w:t>
            </w:r>
          </w:p>
          <w:p w:rsidR="00901B17" w:rsidRPr="000168E1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neopraviteľné - odpad</w:t>
            </w:r>
          </w:p>
          <w:p w:rsidR="00901B17" w:rsidRPr="000168E1" w:rsidRDefault="00901B17" w:rsidP="00901B17">
            <w:pPr>
              <w:pStyle w:val="Odsekzoznamu"/>
              <w:numPr>
                <w:ilvl w:val="0"/>
                <w:numId w:val="53"/>
              </w:num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lastRenderedPageBreak/>
              <w:t>iné nastaviteľné sekcie.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19"/>
          <w:jc w:val="center"/>
        </w:trPr>
        <w:tc>
          <w:tcPr>
            <w:tcW w:w="7197" w:type="dxa"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lastRenderedPageBreak/>
              <w:t xml:space="preserve">Počet výstupných ciest </w:t>
            </w:r>
          </w:p>
        </w:tc>
        <w:tc>
          <w:tcPr>
            <w:tcW w:w="1654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901B17" w:rsidRPr="00C22AA3" w:rsidTr="00225321">
        <w:trPr>
          <w:trHeight w:val="109"/>
          <w:jc w:val="center"/>
        </w:trPr>
        <w:tc>
          <w:tcPr>
            <w:tcW w:w="7197" w:type="dxa"/>
            <w:noWrap/>
            <w:hideMark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Manipulačné zariadenie výstupné</w:t>
            </w:r>
          </w:p>
        </w:tc>
        <w:tc>
          <w:tcPr>
            <w:tcW w:w="1654" w:type="dxa"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901B17" w:rsidRPr="00C22AA3" w:rsidTr="00225321">
        <w:trPr>
          <w:trHeight w:val="128"/>
          <w:jc w:val="center"/>
        </w:trPr>
        <w:tc>
          <w:tcPr>
            <w:tcW w:w="7197" w:type="dxa"/>
            <w:noWrap/>
            <w:hideMark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Dĺžka manipulačného zariadenia výstupného  </w:t>
            </w:r>
          </w:p>
        </w:tc>
        <w:tc>
          <w:tcPr>
            <w:tcW w:w="1654" w:type="dxa"/>
            <w:vAlign w:val="center"/>
            <w:hideMark/>
          </w:tcPr>
          <w:p w:rsidR="00901B17" w:rsidRPr="000168E1" w:rsidRDefault="00901B17" w:rsidP="00225321">
            <w:pPr>
              <w:ind w:left="-108" w:right="-13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901B17" w:rsidRPr="00C22AA3" w:rsidTr="00225321">
        <w:trPr>
          <w:trHeight w:val="132"/>
          <w:jc w:val="center"/>
        </w:trPr>
        <w:tc>
          <w:tcPr>
            <w:tcW w:w="7197" w:type="dxa"/>
            <w:noWrap/>
            <w:hideMark/>
          </w:tcPr>
          <w:p w:rsidR="00901B17" w:rsidRPr="000168E1" w:rsidRDefault="00901B17" w:rsidP="0022532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Šírka manipulačného zariadenia výstupného </w:t>
            </w:r>
          </w:p>
        </w:tc>
        <w:tc>
          <w:tcPr>
            <w:tcW w:w="1654" w:type="dxa"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901B17" w:rsidRPr="00C22AA3" w:rsidTr="00225321">
        <w:trPr>
          <w:trHeight w:val="149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Počet etalónov v pamäti </w:t>
            </w:r>
          </w:p>
        </w:tc>
        <w:tc>
          <w:tcPr>
            <w:tcW w:w="1654" w:type="dxa"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901B17" w:rsidRPr="00C22AA3" w:rsidTr="00225321">
        <w:trPr>
          <w:trHeight w:val="149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Základné ovládacie prvky </w:t>
            </w:r>
          </w:p>
        </w:tc>
        <w:tc>
          <w:tcPr>
            <w:tcW w:w="1654" w:type="dxa"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127"/>
          <w:jc w:val="center"/>
        </w:trPr>
        <w:tc>
          <w:tcPr>
            <w:tcW w:w="7197" w:type="dxa"/>
            <w:noWrap/>
            <w:hideMark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Centrálne stop tlačidlá </w:t>
            </w:r>
          </w:p>
        </w:tc>
        <w:tc>
          <w:tcPr>
            <w:tcW w:w="1654" w:type="dxa"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159"/>
          <w:jc w:val="center"/>
        </w:trPr>
        <w:tc>
          <w:tcPr>
            <w:tcW w:w="7197" w:type="dxa"/>
            <w:noWrap/>
            <w:hideMark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Oplotenie + bezpečnostné prvky podľa platných noriem a predpisov</w:t>
            </w:r>
          </w:p>
        </w:tc>
        <w:tc>
          <w:tcPr>
            <w:tcW w:w="1654" w:type="dxa"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Ks</w:t>
            </w:r>
          </w:p>
        </w:tc>
      </w:tr>
      <w:tr w:rsidR="00901B17" w:rsidRPr="00C22AA3" w:rsidTr="00225321">
        <w:trPr>
          <w:trHeight w:val="191"/>
          <w:jc w:val="center"/>
        </w:trPr>
        <w:tc>
          <w:tcPr>
            <w:tcW w:w="7197" w:type="dxa"/>
            <w:noWrap/>
            <w:hideMark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Možnosť nastavenia a úpravy jednotlivých postupov</w:t>
            </w:r>
          </w:p>
        </w:tc>
        <w:tc>
          <w:tcPr>
            <w:tcW w:w="1654" w:type="dxa"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81"/>
          <w:jc w:val="center"/>
        </w:trPr>
        <w:tc>
          <w:tcPr>
            <w:tcW w:w="7197" w:type="dxa"/>
            <w:noWrap/>
            <w:hideMark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Nastavenie automatického zapnutia/reštartu systému</w:t>
            </w:r>
          </w:p>
        </w:tc>
        <w:tc>
          <w:tcPr>
            <w:tcW w:w="1654" w:type="dxa"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  <w:hideMark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Vzdialená správa systému</w:t>
            </w:r>
          </w:p>
        </w:tc>
        <w:tc>
          <w:tcPr>
            <w:tcW w:w="1654" w:type="dxa"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  <w:hideMark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Celkový takt vysekávania a manipulácie</w:t>
            </w:r>
          </w:p>
        </w:tc>
        <w:tc>
          <w:tcPr>
            <w:tcW w:w="1654" w:type="dxa"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pár/hod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Maximálny layout – pôdorys linky</w:t>
            </w:r>
          </w:p>
        </w:tc>
        <w:tc>
          <w:tcPr>
            <w:tcW w:w="1654" w:type="dxa"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  <w:hideMark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m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Automatické zasielanie reportov a evidencia </w:t>
            </w:r>
          </w:p>
        </w:tc>
        <w:tc>
          <w:tcPr>
            <w:tcW w:w="1654" w:type="dxa"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Automatický zber dát pre Smart Industry</w:t>
            </w:r>
          </w:p>
        </w:tc>
        <w:tc>
          <w:tcPr>
            <w:tcW w:w="1654" w:type="dxa"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Automatické vyhodnocovanie trendov na základe dát</w:t>
            </w:r>
          </w:p>
        </w:tc>
        <w:tc>
          <w:tcPr>
            <w:tcW w:w="1654" w:type="dxa"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Monitoring chybovosti s využitím optickej kontroly na výstupe</w:t>
            </w:r>
          </w:p>
        </w:tc>
        <w:tc>
          <w:tcPr>
            <w:tcW w:w="1654" w:type="dxa"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3D model návrhu linky pri predložení ponuky</w:t>
            </w:r>
          </w:p>
        </w:tc>
        <w:tc>
          <w:tcPr>
            <w:tcW w:w="1654" w:type="dxa"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 xml:space="preserve">Licencia riadiaci softvér </w:t>
            </w:r>
          </w:p>
        </w:tc>
        <w:tc>
          <w:tcPr>
            <w:tcW w:w="1654" w:type="dxa"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Aktualizácia licencie riadiaceho softvéru  počas záručnej doby</w:t>
            </w:r>
          </w:p>
        </w:tc>
        <w:tc>
          <w:tcPr>
            <w:tcW w:w="1654" w:type="dxa"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Riadiaca jednotka pre vysekávanie prepojená s riadením vstupu a výstupu a manipulačných zariadení</w:t>
            </w:r>
          </w:p>
        </w:tc>
        <w:tc>
          <w:tcPr>
            <w:tcW w:w="1654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Možnosť monitorovania stavu jednotlivých častí a prediktívna údržba</w:t>
            </w:r>
          </w:p>
        </w:tc>
        <w:tc>
          <w:tcPr>
            <w:tcW w:w="1654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01B17" w:rsidRPr="00C22AA3" w:rsidTr="00225321">
        <w:trPr>
          <w:trHeight w:val="300"/>
          <w:jc w:val="center"/>
        </w:trPr>
        <w:tc>
          <w:tcPr>
            <w:tcW w:w="7197" w:type="dxa"/>
            <w:noWrap/>
          </w:tcPr>
          <w:p w:rsidR="00901B17" w:rsidRPr="000168E1" w:rsidRDefault="00901B17" w:rsidP="00225321">
            <w:pPr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Riadiaci systém zabezpečuje komplexné riadenie a zároveň riadenie po jednotlivých častiach</w:t>
            </w:r>
          </w:p>
        </w:tc>
        <w:tc>
          <w:tcPr>
            <w:tcW w:w="1654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center"/>
          </w:tcPr>
          <w:p w:rsidR="00901B17" w:rsidRPr="000168E1" w:rsidRDefault="00901B17" w:rsidP="002253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68E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901B17" w:rsidRDefault="00901B17" w:rsidP="00901B17">
      <w:r>
        <w:tab/>
      </w:r>
    </w:p>
    <w:p w:rsidR="00901B17" w:rsidRPr="00A14050" w:rsidRDefault="00901B17" w:rsidP="00901B17">
      <w:pPr>
        <w:rPr>
          <w:rFonts w:ascii="Tahoma" w:hAnsi="Tahoma" w:cs="Tahoma"/>
          <w:sz w:val="20"/>
          <w:szCs w:val="20"/>
        </w:rPr>
      </w:pPr>
      <w:r w:rsidRPr="00A14050">
        <w:rPr>
          <w:rFonts w:ascii="Tahoma" w:hAnsi="Tahoma" w:cs="Tahoma"/>
          <w:sz w:val="20"/>
          <w:szCs w:val="20"/>
        </w:rPr>
        <w:t>Tabuľky č. 1</w:t>
      </w:r>
    </w:p>
    <w:p w:rsidR="00901B17" w:rsidRPr="00A14050" w:rsidRDefault="005C781B" w:rsidP="00901B17">
      <w:pPr>
        <w:rPr>
          <w:rFonts w:ascii="Tahoma" w:hAnsi="Tahoma" w:cs="Tahoma"/>
          <w:b/>
          <w:color w:val="FF0000"/>
          <w:sz w:val="20"/>
          <w:szCs w:val="20"/>
        </w:rPr>
      </w:pPr>
      <w:r w:rsidRPr="005C781B">
        <w:rPr>
          <w:rFonts w:ascii="Tahoma" w:hAnsi="Tahoma" w:cs="Tahoma"/>
          <w:b/>
          <w:caps/>
          <w:noProof/>
          <w:sz w:val="20"/>
          <w:szCs w:val="20"/>
        </w:rPr>
        <w:drawing>
          <wp:inline distT="0" distB="0" distL="0" distR="0">
            <wp:extent cx="6120493" cy="1801586"/>
            <wp:effectExtent l="19050" t="0" r="0" b="0"/>
            <wp:docPr id="1" name="Obrázok 1" descr="C:\Users\DELL\Desktop\Horná Nitra\Bošany - BAMIPA\EX ANTE I\Žiadosť o vysvetlenie - II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Horná Nitra\Bošany - BAMIPA\EX ANTE I\Žiadosť o vysvetlenie - II\11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0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B17" w:rsidRPr="000A57F0">
        <w:rPr>
          <w:rFonts w:ascii="Tahoma" w:hAnsi="Tahoma" w:cs="Tahoma"/>
          <w:b/>
          <w:color w:val="FF0000"/>
          <w:sz w:val="16"/>
          <w:szCs w:val="16"/>
        </w:rPr>
        <w:t>Uchádzač je povinný vyplniť všetky hodnoty predmetu zmluvy vo vyššie uvedenej tabuľke a doplniť ďalšie údaje, ktoré považuje za dôležité na presnú špecifikáciu predmetu zmluvy.</w:t>
      </w:r>
    </w:p>
    <w:p w:rsidR="00901B17" w:rsidRDefault="00901B17" w:rsidP="00901B17">
      <w:pPr>
        <w:pStyle w:val="Zkladntext211"/>
        <w:widowControl w:val="0"/>
        <w:ind w:right="0"/>
        <w:rPr>
          <w:rFonts w:ascii="Tahoma" w:hAnsi="Tahoma" w:cs="Tahoma"/>
          <w:sz w:val="20"/>
          <w:szCs w:val="20"/>
          <w:lang w:val="sk-SK"/>
        </w:rPr>
      </w:pPr>
    </w:p>
    <w:p w:rsidR="00B651B0" w:rsidRPr="00F015EA" w:rsidRDefault="00B651B0" w:rsidP="00B651B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Bošany, dňa ........</w:t>
      </w:r>
      <w:r>
        <w:rPr>
          <w:rFonts w:ascii="Tahoma" w:hAnsi="Tahoma" w:cs="Tahoma"/>
          <w:sz w:val="20"/>
          <w:szCs w:val="20"/>
          <w:lang w:val="sk-SK"/>
        </w:rPr>
        <w:t>.............</w:t>
      </w:r>
      <w:r w:rsidRPr="00F015EA">
        <w:rPr>
          <w:rFonts w:ascii="Tahoma" w:hAnsi="Tahoma" w:cs="Tahoma"/>
          <w:sz w:val="20"/>
          <w:szCs w:val="20"/>
          <w:lang w:val="sk-SK"/>
        </w:rPr>
        <w:t>....</w:t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>v ...........</w:t>
      </w:r>
      <w:r>
        <w:rPr>
          <w:rFonts w:ascii="Tahoma" w:hAnsi="Tahoma" w:cs="Tahoma"/>
          <w:sz w:val="20"/>
          <w:szCs w:val="20"/>
          <w:lang w:val="sk-SK"/>
        </w:rPr>
        <w:t>......</w:t>
      </w:r>
      <w:r w:rsidRPr="00F015EA">
        <w:rPr>
          <w:rFonts w:ascii="Tahoma" w:hAnsi="Tahoma" w:cs="Tahoma"/>
          <w:sz w:val="20"/>
          <w:szCs w:val="20"/>
          <w:lang w:val="sk-SK"/>
        </w:rPr>
        <w:t>...................., dňa .............</w:t>
      </w:r>
    </w:p>
    <w:p w:rsidR="00B651B0" w:rsidRDefault="00B651B0" w:rsidP="00B651B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651B0" w:rsidRDefault="00B651B0" w:rsidP="00B651B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651B0" w:rsidRPr="00F015EA" w:rsidRDefault="00B651B0" w:rsidP="00B651B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651B0" w:rsidRPr="00F015EA" w:rsidRDefault="00B651B0" w:rsidP="00B651B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B651B0" w:rsidRPr="00F015EA" w:rsidRDefault="00B651B0" w:rsidP="00B651B0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B651B0" w:rsidRDefault="00B651B0" w:rsidP="00B651B0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F015EA">
        <w:rPr>
          <w:rFonts w:ascii="Tahoma" w:hAnsi="Tahoma" w:cs="Tahoma"/>
          <w:sz w:val="20"/>
          <w:szCs w:val="20"/>
        </w:rPr>
        <w:t>JUDr. Ján Miškeje, konateľ</w:t>
      </w: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225321" w:rsidRDefault="00225321">
      <w:pPr>
        <w:rPr>
          <w:rFonts w:ascii="Tahoma" w:hAnsi="Tahoma" w:cs="Tahoma"/>
          <w:b/>
          <w:color w:val="auto"/>
          <w:sz w:val="20"/>
          <w:szCs w:val="20"/>
          <w:lang w:eastAsia="zh-CN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901B17" w:rsidRPr="00EC0BC0" w:rsidRDefault="00901B17" w:rsidP="00901B17">
      <w:pPr>
        <w:pStyle w:val="Zkladntext211"/>
        <w:widowControl w:val="0"/>
        <w:jc w:val="right"/>
        <w:rPr>
          <w:rFonts w:ascii="Tahoma" w:hAnsi="Tahoma" w:cs="Tahoma"/>
          <w:b/>
          <w:sz w:val="20"/>
          <w:szCs w:val="20"/>
          <w:lang w:val="sk-SK"/>
        </w:rPr>
      </w:pPr>
      <w:r w:rsidRPr="00EC0BC0">
        <w:rPr>
          <w:rFonts w:ascii="Tahoma" w:hAnsi="Tahoma" w:cs="Tahoma"/>
          <w:b/>
          <w:sz w:val="20"/>
          <w:szCs w:val="20"/>
          <w:lang w:val="sk-SK"/>
        </w:rPr>
        <w:lastRenderedPageBreak/>
        <w:t>Príloha č. 2</w:t>
      </w:r>
    </w:p>
    <w:p w:rsidR="00901B17" w:rsidRPr="00EC0BC0" w:rsidRDefault="00901B17" w:rsidP="00901B17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EC0BC0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901B17" w:rsidRPr="00EC0BC0" w:rsidRDefault="00901B17" w:rsidP="00901B17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1668"/>
        <w:gridCol w:w="141"/>
        <w:gridCol w:w="6521"/>
        <w:gridCol w:w="1559"/>
      </w:tblGrid>
      <w:tr w:rsidR="00901B17" w:rsidRPr="00EC0BC0" w:rsidTr="00225321">
        <w:tc>
          <w:tcPr>
            <w:tcW w:w="1668" w:type="dxa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6662" w:type="dxa"/>
            <w:gridSpan w:val="2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901B17" w:rsidRPr="00EC0BC0" w:rsidTr="00225321">
        <w:tc>
          <w:tcPr>
            <w:tcW w:w="8330" w:type="dxa"/>
            <w:gridSpan w:val="3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Základ predmetu zmluvy</w:t>
            </w:r>
          </w:p>
        </w:tc>
        <w:tc>
          <w:tcPr>
            <w:tcW w:w="1559" w:type="dxa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01B17" w:rsidRPr="00EC0BC0" w:rsidTr="00225321">
        <w:tc>
          <w:tcPr>
            <w:tcW w:w="1809" w:type="dxa"/>
            <w:gridSpan w:val="2"/>
            <w:vMerge w:val="restart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</w:tcPr>
          <w:p w:rsidR="00901B17" w:rsidRPr="00EC0BC0" w:rsidRDefault="00901B17" w:rsidP="00D74D5E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EC0BC0">
              <w:rPr>
                <w:rFonts w:ascii="Tahoma" w:hAnsi="Tahoma" w:cs="Tahoma"/>
                <w:sz w:val="20"/>
                <w:szCs w:val="20"/>
              </w:rPr>
              <w:t xml:space="preserve">Dodanie predmetu zmluvy </w:t>
            </w:r>
          </w:p>
        </w:tc>
        <w:tc>
          <w:tcPr>
            <w:tcW w:w="1559" w:type="dxa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01B17" w:rsidRPr="00EC0BC0" w:rsidTr="00225321">
        <w:tc>
          <w:tcPr>
            <w:tcW w:w="1809" w:type="dxa"/>
            <w:gridSpan w:val="2"/>
            <w:vMerge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</w:tcPr>
          <w:p w:rsidR="00901B17" w:rsidRPr="00EC0BC0" w:rsidRDefault="00901B17" w:rsidP="00D74D5E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EC0BC0">
              <w:rPr>
                <w:rFonts w:ascii="Tahoma" w:hAnsi="Tahoma" w:cs="Tahoma"/>
                <w:color w:val="000000"/>
                <w:sz w:val="20"/>
                <w:szCs w:val="20"/>
              </w:rPr>
              <w:t>Montáž a uvedenie do prevádzky</w:t>
            </w:r>
            <w:r w:rsidR="00D74D5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74D5E" w:rsidRPr="00EC0BC0">
              <w:rPr>
                <w:rFonts w:ascii="Tahoma" w:hAnsi="Tahoma" w:cs="Tahoma"/>
                <w:color w:val="000000"/>
                <w:sz w:val="20"/>
                <w:szCs w:val="20"/>
              </w:rPr>
              <w:t>predmetu zmluvy</w:t>
            </w:r>
          </w:p>
        </w:tc>
        <w:tc>
          <w:tcPr>
            <w:tcW w:w="1559" w:type="dxa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901B17" w:rsidRPr="00EC0BC0" w:rsidTr="00225321">
        <w:tc>
          <w:tcPr>
            <w:tcW w:w="8330" w:type="dxa"/>
            <w:gridSpan w:val="3"/>
            <w:vAlign w:val="center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</w:tcPr>
          <w:p w:rsidR="00901B17" w:rsidRPr="00EC0BC0" w:rsidRDefault="00901B17" w:rsidP="002253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EC0BC0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901B17" w:rsidRPr="000A57F0" w:rsidRDefault="00901B17" w:rsidP="00901B17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0A57F0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901B17" w:rsidRPr="00EC0BC0" w:rsidRDefault="00901B17" w:rsidP="00901B17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p w:rsidR="00901B17" w:rsidRPr="00EC0BC0" w:rsidRDefault="00901B17" w:rsidP="00901B17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B651B0" w:rsidRPr="00F015EA" w:rsidRDefault="00B651B0" w:rsidP="00B651B0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15EA">
        <w:rPr>
          <w:rFonts w:ascii="Tahoma" w:hAnsi="Tahoma" w:cs="Tahoma"/>
          <w:sz w:val="20"/>
          <w:szCs w:val="20"/>
          <w:lang w:val="sk-SK"/>
        </w:rPr>
        <w:t>v Bošany, dňa ........</w:t>
      </w:r>
      <w:r>
        <w:rPr>
          <w:rFonts w:ascii="Tahoma" w:hAnsi="Tahoma" w:cs="Tahoma"/>
          <w:sz w:val="20"/>
          <w:szCs w:val="20"/>
          <w:lang w:val="sk-SK"/>
        </w:rPr>
        <w:t>.............</w:t>
      </w:r>
      <w:r w:rsidRPr="00F015EA">
        <w:rPr>
          <w:rFonts w:ascii="Tahoma" w:hAnsi="Tahoma" w:cs="Tahoma"/>
          <w:sz w:val="20"/>
          <w:szCs w:val="20"/>
          <w:lang w:val="sk-SK"/>
        </w:rPr>
        <w:t>....</w:t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15EA">
        <w:rPr>
          <w:rFonts w:ascii="Tahoma" w:hAnsi="Tahoma" w:cs="Tahoma"/>
          <w:sz w:val="20"/>
          <w:szCs w:val="20"/>
          <w:lang w:val="sk-SK"/>
        </w:rPr>
        <w:t>v ...........</w:t>
      </w:r>
      <w:r>
        <w:rPr>
          <w:rFonts w:ascii="Tahoma" w:hAnsi="Tahoma" w:cs="Tahoma"/>
          <w:sz w:val="20"/>
          <w:szCs w:val="20"/>
          <w:lang w:val="sk-SK"/>
        </w:rPr>
        <w:t>......</w:t>
      </w:r>
      <w:r w:rsidRPr="00F015EA">
        <w:rPr>
          <w:rFonts w:ascii="Tahoma" w:hAnsi="Tahoma" w:cs="Tahoma"/>
          <w:sz w:val="20"/>
          <w:szCs w:val="20"/>
          <w:lang w:val="sk-SK"/>
        </w:rPr>
        <w:t>...................., dňa .............</w:t>
      </w:r>
    </w:p>
    <w:p w:rsidR="00B651B0" w:rsidRDefault="00B651B0" w:rsidP="00B651B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651B0" w:rsidRDefault="00B651B0" w:rsidP="00B651B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651B0" w:rsidRPr="00F015EA" w:rsidRDefault="00B651B0" w:rsidP="00B651B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651B0" w:rsidRPr="00F015EA" w:rsidRDefault="00B651B0" w:rsidP="00B651B0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…..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………………</w:t>
      </w:r>
      <w:r w:rsidRPr="00F015EA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B651B0" w:rsidRPr="00F015EA" w:rsidRDefault="00B651B0" w:rsidP="00B651B0">
      <w:pPr>
        <w:pStyle w:val="Zkladntext211"/>
        <w:widowControl w:val="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15EA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B651B0" w:rsidRDefault="00B651B0" w:rsidP="00B651B0">
      <w:pPr>
        <w:pStyle w:val="Nadpis1"/>
        <w:tabs>
          <w:tab w:val="clear" w:pos="540"/>
          <w:tab w:val="left" w:pos="-6237"/>
        </w:tabs>
        <w:jc w:val="both"/>
        <w:rPr>
          <w:rFonts w:ascii="Tahoma" w:hAnsi="Tahoma" w:cs="Tahoma"/>
          <w:b/>
          <w:caps/>
          <w:spacing w:val="3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F015EA">
        <w:rPr>
          <w:rFonts w:ascii="Tahoma" w:hAnsi="Tahoma" w:cs="Tahoma"/>
          <w:sz w:val="20"/>
          <w:szCs w:val="20"/>
        </w:rPr>
        <w:t>JUDr. Ján Miškeje, konateľ</w:t>
      </w: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sectPr w:rsidR="009F07C8" w:rsidRPr="00907368" w:rsidSect="00A50F76">
      <w:footerReference w:type="default" r:id="rId10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22" w:rsidRDefault="00066622" w:rsidP="00465A3B">
      <w:r>
        <w:separator/>
      </w:r>
    </w:p>
  </w:endnote>
  <w:endnote w:type="continuationSeparator" w:id="1">
    <w:p w:rsidR="00066622" w:rsidRDefault="00066622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CA" w:rsidRDefault="00D357CA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E607B6" w:rsidRPr="00E607B6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E607B6">
      <w:fldChar w:fldCharType="separate"/>
    </w:r>
    <w:r w:rsidR="00B651B0">
      <w:rPr>
        <w:noProof/>
      </w:rPr>
      <w:t>8</w:t>
    </w:r>
    <w:r w:rsidR="00E607B6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E607B6" w:rsidRPr="00E607B6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E607B6">
      <w:fldChar w:fldCharType="separate"/>
    </w:r>
    <w:r w:rsidR="00B651B0">
      <w:rPr>
        <w:noProof/>
      </w:rPr>
      <w:t>8</w:t>
    </w:r>
    <w:r w:rsidR="00E607B6">
      <w:fldChar w:fldCharType="end"/>
    </w:r>
  </w:p>
  <w:p w:rsidR="00D357CA" w:rsidRDefault="00D357CA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22" w:rsidRDefault="00066622" w:rsidP="00465A3B">
      <w:r>
        <w:separator/>
      </w:r>
    </w:p>
  </w:footnote>
  <w:footnote w:type="continuationSeparator" w:id="1">
    <w:p w:rsidR="00066622" w:rsidRDefault="00066622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421784"/>
    <w:multiLevelType w:val="hybridMultilevel"/>
    <w:tmpl w:val="E6A02D00"/>
    <w:lvl w:ilvl="0" w:tplc="E6A62B9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0169524F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531D98"/>
    <w:multiLevelType w:val="multilevel"/>
    <w:tmpl w:val="F7089C1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91D3DF2"/>
    <w:multiLevelType w:val="hybridMultilevel"/>
    <w:tmpl w:val="481CD5F6"/>
    <w:lvl w:ilvl="0" w:tplc="89DE8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0">
    <w:nsid w:val="0E9E02D0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110F0E76"/>
    <w:multiLevelType w:val="multilevel"/>
    <w:tmpl w:val="F74488F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2092833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6B785D"/>
    <w:multiLevelType w:val="hybridMultilevel"/>
    <w:tmpl w:val="79E4BC62"/>
    <w:lvl w:ilvl="0" w:tplc="700853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53372"/>
    <w:multiLevelType w:val="hybridMultilevel"/>
    <w:tmpl w:val="653079A8"/>
    <w:lvl w:ilvl="0" w:tplc="A8508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1E764587"/>
    <w:multiLevelType w:val="multilevel"/>
    <w:tmpl w:val="054804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31BB05CF"/>
    <w:multiLevelType w:val="hybridMultilevel"/>
    <w:tmpl w:val="D7B4AB50"/>
    <w:lvl w:ilvl="0" w:tplc="181437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7974EC3"/>
    <w:multiLevelType w:val="multilevel"/>
    <w:tmpl w:val="B0426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E1ED2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56804"/>
    <w:multiLevelType w:val="multilevel"/>
    <w:tmpl w:val="710689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>
    <w:nsid w:val="44D90DE0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3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50662BBC"/>
    <w:multiLevelType w:val="multilevel"/>
    <w:tmpl w:val="8FB2190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6B6F71"/>
    <w:multiLevelType w:val="hybridMultilevel"/>
    <w:tmpl w:val="2C368A62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4C759F"/>
    <w:multiLevelType w:val="multilevel"/>
    <w:tmpl w:val="26F62B3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2019E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F104029"/>
    <w:multiLevelType w:val="multilevel"/>
    <w:tmpl w:val="2B98CF0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577577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>
    <w:nsid w:val="670B6EB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679B73E6"/>
    <w:multiLevelType w:val="multilevel"/>
    <w:tmpl w:val="FD02C3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6A5B71C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7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113390A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771060C6"/>
    <w:multiLevelType w:val="hybridMultilevel"/>
    <w:tmpl w:val="B450DAB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4">
    <w:nsid w:val="7CDF556C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9"/>
  </w:num>
  <w:num w:numId="3">
    <w:abstractNumId w:val="11"/>
  </w:num>
  <w:num w:numId="4">
    <w:abstractNumId w:val="35"/>
  </w:num>
  <w:num w:numId="5">
    <w:abstractNumId w:val="37"/>
  </w:num>
  <w:num w:numId="6">
    <w:abstractNumId w:val="23"/>
  </w:num>
  <w:num w:numId="7">
    <w:abstractNumId w:val="32"/>
  </w:num>
  <w:num w:numId="8">
    <w:abstractNumId w:val="57"/>
  </w:num>
  <w:num w:numId="9">
    <w:abstractNumId w:val="16"/>
  </w:num>
  <w:num w:numId="10">
    <w:abstractNumId w:val="41"/>
  </w:num>
  <w:num w:numId="11">
    <w:abstractNumId w:val="24"/>
  </w:num>
  <w:num w:numId="12">
    <w:abstractNumId w:val="52"/>
  </w:num>
  <w:num w:numId="13">
    <w:abstractNumId w:val="61"/>
  </w:num>
  <w:num w:numId="14">
    <w:abstractNumId w:val="38"/>
  </w:num>
  <w:num w:numId="15">
    <w:abstractNumId w:val="44"/>
  </w:num>
  <w:num w:numId="16">
    <w:abstractNumId w:val="29"/>
  </w:num>
  <w:num w:numId="17">
    <w:abstractNumId w:val="63"/>
  </w:num>
  <w:num w:numId="18">
    <w:abstractNumId w:val="58"/>
  </w:num>
  <w:num w:numId="19">
    <w:abstractNumId w:val="36"/>
  </w:num>
  <w:num w:numId="20">
    <w:abstractNumId w:val="51"/>
  </w:num>
  <w:num w:numId="21">
    <w:abstractNumId w:val="14"/>
  </w:num>
  <w:num w:numId="22">
    <w:abstractNumId w:val="31"/>
  </w:num>
  <w:num w:numId="23">
    <w:abstractNumId w:val="27"/>
  </w:num>
  <w:num w:numId="24">
    <w:abstractNumId w:val="55"/>
  </w:num>
  <w:num w:numId="25">
    <w:abstractNumId w:val="33"/>
  </w:num>
  <w:num w:numId="26">
    <w:abstractNumId w:val="20"/>
  </w:num>
  <w:num w:numId="27">
    <w:abstractNumId w:val="22"/>
  </w:num>
  <w:num w:numId="28">
    <w:abstractNumId w:val="54"/>
  </w:num>
  <w:num w:numId="29">
    <w:abstractNumId w:val="39"/>
  </w:num>
  <w:num w:numId="30">
    <w:abstractNumId w:val="59"/>
  </w:num>
  <w:num w:numId="31">
    <w:abstractNumId w:val="15"/>
  </w:num>
  <w:num w:numId="32">
    <w:abstractNumId w:val="53"/>
  </w:num>
  <w:num w:numId="33">
    <w:abstractNumId w:val="56"/>
  </w:num>
  <w:num w:numId="34">
    <w:abstractNumId w:val="62"/>
  </w:num>
  <w:num w:numId="35">
    <w:abstractNumId w:val="64"/>
  </w:num>
  <w:num w:numId="36">
    <w:abstractNumId w:val="19"/>
  </w:num>
  <w:num w:numId="37">
    <w:abstractNumId w:val="46"/>
  </w:num>
  <w:num w:numId="38">
    <w:abstractNumId w:val="34"/>
  </w:num>
  <w:num w:numId="39">
    <w:abstractNumId w:val="1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60"/>
  </w:num>
  <w:num w:numId="49">
    <w:abstractNumId w:val="28"/>
  </w:num>
  <w:num w:numId="50">
    <w:abstractNumId w:val="65"/>
  </w:num>
  <w:num w:numId="51">
    <w:abstractNumId w:val="50"/>
  </w:num>
  <w:num w:numId="52">
    <w:abstractNumId w:val="30"/>
  </w:num>
  <w:num w:numId="53">
    <w:abstractNumId w:val="18"/>
  </w:num>
  <w:num w:numId="54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3CC"/>
    <w:rsid w:val="00004FBC"/>
    <w:rsid w:val="000138ED"/>
    <w:rsid w:val="000149E2"/>
    <w:rsid w:val="000155D1"/>
    <w:rsid w:val="00017AA1"/>
    <w:rsid w:val="00017B99"/>
    <w:rsid w:val="00025A0C"/>
    <w:rsid w:val="000260EB"/>
    <w:rsid w:val="000307C3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5D40"/>
    <w:rsid w:val="00057345"/>
    <w:rsid w:val="00057DF9"/>
    <w:rsid w:val="000627E2"/>
    <w:rsid w:val="000631FA"/>
    <w:rsid w:val="0006406F"/>
    <w:rsid w:val="000660F3"/>
    <w:rsid w:val="00066622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2216"/>
    <w:rsid w:val="000953BE"/>
    <w:rsid w:val="00096BE8"/>
    <w:rsid w:val="00096F21"/>
    <w:rsid w:val="000A1296"/>
    <w:rsid w:val="000A2F9D"/>
    <w:rsid w:val="000A31FD"/>
    <w:rsid w:val="000A34D6"/>
    <w:rsid w:val="000A57F0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06D14"/>
    <w:rsid w:val="00114DEA"/>
    <w:rsid w:val="001178CD"/>
    <w:rsid w:val="00121AB9"/>
    <w:rsid w:val="00126A95"/>
    <w:rsid w:val="00126AC8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1833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1D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53A"/>
    <w:rsid w:val="00210C10"/>
    <w:rsid w:val="00213E1F"/>
    <w:rsid w:val="002236A5"/>
    <w:rsid w:val="00224534"/>
    <w:rsid w:val="00225321"/>
    <w:rsid w:val="0023033F"/>
    <w:rsid w:val="002347A7"/>
    <w:rsid w:val="002349DA"/>
    <w:rsid w:val="00245010"/>
    <w:rsid w:val="00245C4E"/>
    <w:rsid w:val="00247AE8"/>
    <w:rsid w:val="00263B7F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2FBA"/>
    <w:rsid w:val="002C4ABC"/>
    <w:rsid w:val="002C7D19"/>
    <w:rsid w:val="002D616F"/>
    <w:rsid w:val="002E1884"/>
    <w:rsid w:val="002E4BEB"/>
    <w:rsid w:val="002E6928"/>
    <w:rsid w:val="002F0257"/>
    <w:rsid w:val="002F1CE0"/>
    <w:rsid w:val="002F343C"/>
    <w:rsid w:val="002F4803"/>
    <w:rsid w:val="002F5B62"/>
    <w:rsid w:val="00301BB6"/>
    <w:rsid w:val="00303DD9"/>
    <w:rsid w:val="00304120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07B"/>
    <w:rsid w:val="00333BCF"/>
    <w:rsid w:val="00333D24"/>
    <w:rsid w:val="00335405"/>
    <w:rsid w:val="003356D4"/>
    <w:rsid w:val="003358BF"/>
    <w:rsid w:val="003409DE"/>
    <w:rsid w:val="00350E3F"/>
    <w:rsid w:val="00351A9D"/>
    <w:rsid w:val="003555FE"/>
    <w:rsid w:val="00364D6A"/>
    <w:rsid w:val="0036798E"/>
    <w:rsid w:val="00372A7E"/>
    <w:rsid w:val="00376434"/>
    <w:rsid w:val="00377DC4"/>
    <w:rsid w:val="00381071"/>
    <w:rsid w:val="0038161F"/>
    <w:rsid w:val="00382D3A"/>
    <w:rsid w:val="00385B92"/>
    <w:rsid w:val="0038787E"/>
    <w:rsid w:val="00387E94"/>
    <w:rsid w:val="00390FE8"/>
    <w:rsid w:val="0039185E"/>
    <w:rsid w:val="003A1DA9"/>
    <w:rsid w:val="003A36B7"/>
    <w:rsid w:val="003A453D"/>
    <w:rsid w:val="003A4B19"/>
    <w:rsid w:val="003A4F4E"/>
    <w:rsid w:val="003B1428"/>
    <w:rsid w:val="003B689C"/>
    <w:rsid w:val="003B7334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169F3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1A33"/>
    <w:rsid w:val="00445A0E"/>
    <w:rsid w:val="004477E2"/>
    <w:rsid w:val="004517D7"/>
    <w:rsid w:val="004540F2"/>
    <w:rsid w:val="00456200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652"/>
    <w:rsid w:val="004C7746"/>
    <w:rsid w:val="004D05CE"/>
    <w:rsid w:val="004D1D46"/>
    <w:rsid w:val="004D25CA"/>
    <w:rsid w:val="004D2CA7"/>
    <w:rsid w:val="004F0877"/>
    <w:rsid w:val="00507883"/>
    <w:rsid w:val="005078D0"/>
    <w:rsid w:val="00510981"/>
    <w:rsid w:val="00512A92"/>
    <w:rsid w:val="00516648"/>
    <w:rsid w:val="00517AA1"/>
    <w:rsid w:val="0052252D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67725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8C4"/>
    <w:rsid w:val="005B0E61"/>
    <w:rsid w:val="005B30F2"/>
    <w:rsid w:val="005B47CA"/>
    <w:rsid w:val="005B7BC7"/>
    <w:rsid w:val="005C4244"/>
    <w:rsid w:val="005C781B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5F27C1"/>
    <w:rsid w:val="00601F95"/>
    <w:rsid w:val="0060364B"/>
    <w:rsid w:val="006049ED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59F2"/>
    <w:rsid w:val="00676663"/>
    <w:rsid w:val="006824DE"/>
    <w:rsid w:val="00682ED2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D5CA9"/>
    <w:rsid w:val="006F3133"/>
    <w:rsid w:val="006F5665"/>
    <w:rsid w:val="006F5A64"/>
    <w:rsid w:val="006F699C"/>
    <w:rsid w:val="0070354F"/>
    <w:rsid w:val="00703CD5"/>
    <w:rsid w:val="0070660D"/>
    <w:rsid w:val="00712117"/>
    <w:rsid w:val="00714353"/>
    <w:rsid w:val="00715CF6"/>
    <w:rsid w:val="00720749"/>
    <w:rsid w:val="007212D9"/>
    <w:rsid w:val="00721DF7"/>
    <w:rsid w:val="007264D0"/>
    <w:rsid w:val="00732755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32C0"/>
    <w:rsid w:val="007D4520"/>
    <w:rsid w:val="007D5540"/>
    <w:rsid w:val="007D6142"/>
    <w:rsid w:val="007D77D7"/>
    <w:rsid w:val="007E16D3"/>
    <w:rsid w:val="007E19F7"/>
    <w:rsid w:val="007E585D"/>
    <w:rsid w:val="007F159A"/>
    <w:rsid w:val="007F353B"/>
    <w:rsid w:val="007F3804"/>
    <w:rsid w:val="007F592E"/>
    <w:rsid w:val="007F5AFF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5FB8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866EE"/>
    <w:rsid w:val="0089581E"/>
    <w:rsid w:val="008959B6"/>
    <w:rsid w:val="008960D8"/>
    <w:rsid w:val="008A27BE"/>
    <w:rsid w:val="008A27DF"/>
    <w:rsid w:val="008A354C"/>
    <w:rsid w:val="008A377C"/>
    <w:rsid w:val="008A3801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1382"/>
    <w:rsid w:val="00901B17"/>
    <w:rsid w:val="00906BA9"/>
    <w:rsid w:val="00907368"/>
    <w:rsid w:val="009074CB"/>
    <w:rsid w:val="0092234A"/>
    <w:rsid w:val="009231DC"/>
    <w:rsid w:val="009239D3"/>
    <w:rsid w:val="009239D4"/>
    <w:rsid w:val="00932B8E"/>
    <w:rsid w:val="0094031A"/>
    <w:rsid w:val="00941FC2"/>
    <w:rsid w:val="00942352"/>
    <w:rsid w:val="00952BD2"/>
    <w:rsid w:val="00960F1B"/>
    <w:rsid w:val="0096238E"/>
    <w:rsid w:val="00963277"/>
    <w:rsid w:val="00966D93"/>
    <w:rsid w:val="00967D5E"/>
    <w:rsid w:val="00971B7E"/>
    <w:rsid w:val="00971EED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1C9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18EF"/>
    <w:rsid w:val="009E340D"/>
    <w:rsid w:val="009E4229"/>
    <w:rsid w:val="009E4279"/>
    <w:rsid w:val="009E5E3E"/>
    <w:rsid w:val="009F07C8"/>
    <w:rsid w:val="009F34F4"/>
    <w:rsid w:val="009F3DD8"/>
    <w:rsid w:val="009F4F8D"/>
    <w:rsid w:val="009F5684"/>
    <w:rsid w:val="009F5CB3"/>
    <w:rsid w:val="00A00D89"/>
    <w:rsid w:val="00A04EFC"/>
    <w:rsid w:val="00A05EB1"/>
    <w:rsid w:val="00A06567"/>
    <w:rsid w:val="00A07AFC"/>
    <w:rsid w:val="00A07CBF"/>
    <w:rsid w:val="00A1099A"/>
    <w:rsid w:val="00A10A75"/>
    <w:rsid w:val="00A12E67"/>
    <w:rsid w:val="00A14A64"/>
    <w:rsid w:val="00A15754"/>
    <w:rsid w:val="00A16D52"/>
    <w:rsid w:val="00A174B1"/>
    <w:rsid w:val="00A20BDE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2140"/>
    <w:rsid w:val="00AA2582"/>
    <w:rsid w:val="00AB15B3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2B88"/>
    <w:rsid w:val="00B235C2"/>
    <w:rsid w:val="00B26877"/>
    <w:rsid w:val="00B319F1"/>
    <w:rsid w:val="00B34A68"/>
    <w:rsid w:val="00B36161"/>
    <w:rsid w:val="00B372E4"/>
    <w:rsid w:val="00B40F65"/>
    <w:rsid w:val="00B419F7"/>
    <w:rsid w:val="00B446E6"/>
    <w:rsid w:val="00B451E6"/>
    <w:rsid w:val="00B45E5F"/>
    <w:rsid w:val="00B46967"/>
    <w:rsid w:val="00B50E3A"/>
    <w:rsid w:val="00B51B2C"/>
    <w:rsid w:val="00B564EB"/>
    <w:rsid w:val="00B56970"/>
    <w:rsid w:val="00B60DEF"/>
    <w:rsid w:val="00B63030"/>
    <w:rsid w:val="00B64246"/>
    <w:rsid w:val="00B651B0"/>
    <w:rsid w:val="00B66091"/>
    <w:rsid w:val="00B66BC8"/>
    <w:rsid w:val="00B673B6"/>
    <w:rsid w:val="00B67A13"/>
    <w:rsid w:val="00B7184F"/>
    <w:rsid w:val="00B73B05"/>
    <w:rsid w:val="00B74A14"/>
    <w:rsid w:val="00B822FE"/>
    <w:rsid w:val="00B901A7"/>
    <w:rsid w:val="00BA3605"/>
    <w:rsid w:val="00BB224F"/>
    <w:rsid w:val="00BB53CE"/>
    <w:rsid w:val="00BB6243"/>
    <w:rsid w:val="00BC0905"/>
    <w:rsid w:val="00BC520C"/>
    <w:rsid w:val="00BD4982"/>
    <w:rsid w:val="00BD6F15"/>
    <w:rsid w:val="00BE2633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3D3E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C7468"/>
    <w:rsid w:val="00CD0E6F"/>
    <w:rsid w:val="00CD1CF7"/>
    <w:rsid w:val="00CD27AF"/>
    <w:rsid w:val="00CD4309"/>
    <w:rsid w:val="00CD6670"/>
    <w:rsid w:val="00CD68C8"/>
    <w:rsid w:val="00CE4B58"/>
    <w:rsid w:val="00CE536B"/>
    <w:rsid w:val="00CF0042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4958"/>
    <w:rsid w:val="00D357CA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4D5E"/>
    <w:rsid w:val="00D7518F"/>
    <w:rsid w:val="00D76C3E"/>
    <w:rsid w:val="00D777B6"/>
    <w:rsid w:val="00D8073E"/>
    <w:rsid w:val="00D80776"/>
    <w:rsid w:val="00D80D42"/>
    <w:rsid w:val="00D80E90"/>
    <w:rsid w:val="00D82133"/>
    <w:rsid w:val="00D82609"/>
    <w:rsid w:val="00D827F5"/>
    <w:rsid w:val="00D84D6C"/>
    <w:rsid w:val="00D87EE0"/>
    <w:rsid w:val="00D914C5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B635F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3F3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24B0"/>
    <w:rsid w:val="00E3324C"/>
    <w:rsid w:val="00E349E9"/>
    <w:rsid w:val="00E367B2"/>
    <w:rsid w:val="00E43509"/>
    <w:rsid w:val="00E437EE"/>
    <w:rsid w:val="00E51A99"/>
    <w:rsid w:val="00E5207F"/>
    <w:rsid w:val="00E55A92"/>
    <w:rsid w:val="00E574CF"/>
    <w:rsid w:val="00E607B6"/>
    <w:rsid w:val="00E66164"/>
    <w:rsid w:val="00E66849"/>
    <w:rsid w:val="00E66900"/>
    <w:rsid w:val="00E70E44"/>
    <w:rsid w:val="00E71660"/>
    <w:rsid w:val="00E8016B"/>
    <w:rsid w:val="00E81D64"/>
    <w:rsid w:val="00E83430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EF5C9C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600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4862"/>
    <w:rsid w:val="00F556C2"/>
    <w:rsid w:val="00F573F2"/>
    <w:rsid w:val="00F60B91"/>
    <w:rsid w:val="00F63383"/>
    <w:rsid w:val="00F637C0"/>
    <w:rsid w:val="00F64AB0"/>
    <w:rsid w:val="00F65FC4"/>
    <w:rsid w:val="00F667E4"/>
    <w:rsid w:val="00F74EF0"/>
    <w:rsid w:val="00F83ECD"/>
    <w:rsid w:val="00F85304"/>
    <w:rsid w:val="00F966B7"/>
    <w:rsid w:val="00F9703D"/>
    <w:rsid w:val="00FA0AC3"/>
    <w:rsid w:val="00FA3E87"/>
    <w:rsid w:val="00FB3A60"/>
    <w:rsid w:val="00FB3AD3"/>
    <w:rsid w:val="00FB4D58"/>
    <w:rsid w:val="00FB59F5"/>
    <w:rsid w:val="00FC043F"/>
    <w:rsid w:val="00FC0FD9"/>
    <w:rsid w:val="00FC1420"/>
    <w:rsid w:val="00FC367C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  <w:rsid w:val="00FE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up@bamip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2908</Words>
  <Characters>16580</Characters>
  <Application>Microsoft Office Word</Application>
  <DocSecurity>0</DocSecurity>
  <Lines>138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19450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2</cp:revision>
  <cp:lastPrinted>2022-09-29T10:28:00Z</cp:lastPrinted>
  <dcterms:created xsi:type="dcterms:W3CDTF">2022-09-30T06:20:00Z</dcterms:created>
  <dcterms:modified xsi:type="dcterms:W3CDTF">2022-09-30T06:20:00Z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